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78BB" w14:textId="51482803" w:rsidR="006570E2" w:rsidRDefault="00E54473" w:rsidP="006570E2">
      <w:pPr>
        <w:jc w:val="center"/>
      </w:pPr>
      <w:r w:rsidRPr="008B666F">
        <w:rPr>
          <w:noProof/>
        </w:rPr>
        <w:drawing>
          <wp:inline distT="0" distB="0" distL="0" distR="0" wp14:anchorId="10CD606A" wp14:editId="4195D3B0">
            <wp:extent cx="2665095" cy="955343"/>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3270" cy="976197"/>
                    </a:xfrm>
                    <a:prstGeom prst="rect">
                      <a:avLst/>
                    </a:prstGeom>
                  </pic:spPr>
                </pic:pic>
              </a:graphicData>
            </a:graphic>
          </wp:inline>
        </w:drawing>
      </w:r>
    </w:p>
    <w:p w14:paraId="33ED0970" w14:textId="28692F69" w:rsidR="002E2530" w:rsidRPr="00040AFD" w:rsidRDefault="000D47C1" w:rsidP="002E2530">
      <w:pPr>
        <w:rPr>
          <w:rFonts w:cstheme="minorHAnsi"/>
        </w:rPr>
      </w:pPr>
      <w:r w:rsidRPr="00040AFD">
        <w:rPr>
          <w:rFonts w:cstheme="minorHAnsi"/>
        </w:rPr>
        <w:t xml:space="preserve">April </w:t>
      </w:r>
      <w:r w:rsidR="00E318A0">
        <w:rPr>
          <w:rFonts w:cstheme="minorHAnsi"/>
        </w:rPr>
        <w:t>25</w:t>
      </w:r>
      <w:r w:rsidR="002E2530" w:rsidRPr="00040AFD">
        <w:rPr>
          <w:rFonts w:cstheme="minorHAnsi"/>
        </w:rPr>
        <w:t>, 202</w:t>
      </w:r>
      <w:r w:rsidR="006B4912" w:rsidRPr="00040AFD">
        <w:rPr>
          <w:rFonts w:cstheme="minorHAnsi"/>
        </w:rPr>
        <w:t>3</w:t>
      </w:r>
      <w:r w:rsidR="00933510" w:rsidRPr="00040AFD">
        <w:rPr>
          <w:rFonts w:cstheme="minorHAnsi"/>
        </w:rPr>
        <w:t xml:space="preserve"> </w:t>
      </w:r>
      <w:r w:rsidR="00933510" w:rsidRPr="00040AFD">
        <w:rPr>
          <w:rFonts w:cstheme="minorHAnsi"/>
        </w:rPr>
        <w:tab/>
      </w:r>
      <w:r w:rsidR="00933510" w:rsidRPr="00040AFD">
        <w:rPr>
          <w:rFonts w:cstheme="minorHAnsi"/>
        </w:rPr>
        <w:tab/>
      </w:r>
      <w:r w:rsidR="00933510" w:rsidRPr="00040AFD">
        <w:rPr>
          <w:rFonts w:cstheme="minorHAnsi"/>
        </w:rPr>
        <w:tab/>
      </w:r>
      <w:r w:rsidR="00933510" w:rsidRPr="00040AFD">
        <w:rPr>
          <w:rFonts w:cstheme="minorHAnsi"/>
        </w:rPr>
        <w:tab/>
      </w:r>
    </w:p>
    <w:p w14:paraId="62A709F7" w14:textId="77777777" w:rsidR="00326C9B" w:rsidRPr="00040AFD" w:rsidRDefault="00326C9B" w:rsidP="002E2530">
      <w:pPr>
        <w:spacing w:after="0" w:line="240" w:lineRule="auto"/>
        <w:rPr>
          <w:rFonts w:cstheme="minorHAnsi"/>
        </w:rPr>
        <w:sectPr w:rsidR="00326C9B" w:rsidRPr="00040AFD" w:rsidSect="00B66360">
          <w:pgSz w:w="12240" w:h="15840"/>
          <w:pgMar w:top="1080" w:right="1440" w:bottom="1440" w:left="1440" w:header="720" w:footer="720" w:gutter="0"/>
          <w:cols w:space="720"/>
          <w:docGrid w:linePitch="360"/>
        </w:sectPr>
      </w:pPr>
      <w:bookmarkStart w:id="0" w:name="_Hlk99098396"/>
    </w:p>
    <w:p w14:paraId="278FDEC3" w14:textId="3C1001B8" w:rsidR="002E2530" w:rsidRPr="00040AFD" w:rsidRDefault="002E2530" w:rsidP="002E2530">
      <w:pPr>
        <w:spacing w:after="0" w:line="240" w:lineRule="auto"/>
        <w:rPr>
          <w:rFonts w:cstheme="minorHAnsi"/>
        </w:rPr>
      </w:pPr>
      <w:r w:rsidRPr="00040AFD">
        <w:rPr>
          <w:rFonts w:cstheme="minorHAnsi"/>
        </w:rPr>
        <w:t xml:space="preserve">The Honorable </w:t>
      </w:r>
      <w:r w:rsidR="0097306E" w:rsidRPr="00040AFD">
        <w:rPr>
          <w:rFonts w:cstheme="minorHAnsi"/>
        </w:rPr>
        <w:t>Joe Manchin III</w:t>
      </w:r>
    </w:p>
    <w:bookmarkEnd w:id="0"/>
    <w:p w14:paraId="1EF80CEA" w14:textId="7D444EBD" w:rsidR="008C47D4" w:rsidRPr="00040AFD" w:rsidRDefault="006B4912" w:rsidP="008C47D4">
      <w:pPr>
        <w:spacing w:after="0" w:line="240" w:lineRule="auto"/>
        <w:rPr>
          <w:rFonts w:cstheme="minorHAnsi"/>
        </w:rPr>
      </w:pPr>
      <w:r w:rsidRPr="00040AFD">
        <w:rPr>
          <w:rFonts w:cstheme="minorHAnsi"/>
        </w:rPr>
        <w:t>Chair</w:t>
      </w:r>
      <w:r w:rsidR="00326C9B" w:rsidRPr="00040AFD">
        <w:rPr>
          <w:rFonts w:cstheme="minorHAnsi"/>
        </w:rPr>
        <w:t>man</w:t>
      </w:r>
      <w:r w:rsidRPr="00040AFD">
        <w:rPr>
          <w:rFonts w:cstheme="minorHAnsi"/>
        </w:rPr>
        <w:t xml:space="preserve"> </w:t>
      </w:r>
      <w:bookmarkStart w:id="1" w:name="_Hlk131501906"/>
      <w:r w:rsidR="008C47D4" w:rsidRPr="00040AFD">
        <w:rPr>
          <w:rFonts w:cstheme="minorHAnsi"/>
        </w:rPr>
        <w:t xml:space="preserve">Committee on </w:t>
      </w:r>
      <w:r w:rsidRPr="00040AFD">
        <w:rPr>
          <w:rFonts w:cstheme="minorHAnsi"/>
        </w:rPr>
        <w:t xml:space="preserve">Energy and </w:t>
      </w:r>
      <w:r w:rsidR="0097306E" w:rsidRPr="00040AFD">
        <w:rPr>
          <w:rFonts w:cstheme="minorHAnsi"/>
        </w:rPr>
        <w:t>Natural Resources</w:t>
      </w:r>
    </w:p>
    <w:bookmarkEnd w:id="1"/>
    <w:p w14:paraId="789EC27C" w14:textId="5EE0674F" w:rsidR="00045E9B" w:rsidRPr="00040AFD" w:rsidRDefault="00045E9B" w:rsidP="24041CEB">
      <w:pPr>
        <w:spacing w:after="0" w:line="240" w:lineRule="auto"/>
        <w:rPr>
          <w:rFonts w:cstheme="minorHAnsi"/>
        </w:rPr>
      </w:pPr>
      <w:r w:rsidRPr="00040AFD">
        <w:rPr>
          <w:rFonts w:cstheme="minorHAnsi"/>
        </w:rPr>
        <w:t>U.S. Senate</w:t>
      </w:r>
    </w:p>
    <w:p w14:paraId="2D1441AE" w14:textId="67B07C55" w:rsidR="008C47D4" w:rsidRPr="00040AFD" w:rsidRDefault="00BC27A2" w:rsidP="24041CEB">
      <w:pPr>
        <w:spacing w:after="0" w:line="240" w:lineRule="auto"/>
        <w:rPr>
          <w:rFonts w:cstheme="minorHAnsi"/>
        </w:rPr>
      </w:pPr>
      <w:r w:rsidRPr="00040AFD">
        <w:rPr>
          <w:rFonts w:cstheme="minorHAnsi"/>
        </w:rPr>
        <w:t>30</w:t>
      </w:r>
      <w:r w:rsidR="00326C9B" w:rsidRPr="00040AFD">
        <w:rPr>
          <w:rFonts w:cstheme="minorHAnsi"/>
        </w:rPr>
        <w:t xml:space="preserve">4 Dirksen </w:t>
      </w:r>
      <w:r w:rsidR="0097306E" w:rsidRPr="00040AFD">
        <w:rPr>
          <w:rFonts w:cstheme="minorHAnsi"/>
        </w:rPr>
        <w:t>S</w:t>
      </w:r>
      <w:r w:rsidRPr="00040AFD">
        <w:rPr>
          <w:rFonts w:cstheme="minorHAnsi"/>
        </w:rPr>
        <w:t xml:space="preserve">enate Office </w:t>
      </w:r>
      <w:r w:rsidR="006B4912" w:rsidRPr="00040AFD">
        <w:rPr>
          <w:rFonts w:cstheme="minorHAnsi"/>
        </w:rPr>
        <w:t>B</w:t>
      </w:r>
      <w:r w:rsidRPr="00040AFD">
        <w:rPr>
          <w:rFonts w:cstheme="minorHAnsi"/>
        </w:rPr>
        <w:t>uilding</w:t>
      </w:r>
    </w:p>
    <w:p w14:paraId="7D286D6D" w14:textId="702F323B" w:rsidR="008C47D4" w:rsidRPr="00040AFD" w:rsidRDefault="008C47D4" w:rsidP="008C47D4">
      <w:pPr>
        <w:spacing w:after="0" w:line="240" w:lineRule="auto"/>
        <w:rPr>
          <w:rFonts w:cstheme="minorHAnsi"/>
        </w:rPr>
      </w:pPr>
      <w:bookmarkStart w:id="2" w:name="_Hlk98938278"/>
      <w:r w:rsidRPr="00040AFD">
        <w:rPr>
          <w:rFonts w:cstheme="minorHAnsi"/>
        </w:rPr>
        <w:t>Washington, DC 20510</w:t>
      </w:r>
    </w:p>
    <w:p w14:paraId="41B9D076" w14:textId="77777777" w:rsidR="00326C9B" w:rsidRPr="00040AFD" w:rsidRDefault="00326C9B" w:rsidP="008C47D4">
      <w:pPr>
        <w:spacing w:after="0" w:line="240" w:lineRule="auto"/>
        <w:rPr>
          <w:rFonts w:cstheme="minorHAnsi"/>
        </w:rPr>
      </w:pPr>
    </w:p>
    <w:p w14:paraId="5DA6E875" w14:textId="7A69A3B2" w:rsidR="00326C9B" w:rsidRPr="00040AFD" w:rsidRDefault="00326C9B" w:rsidP="008C47D4">
      <w:pPr>
        <w:spacing w:after="0" w:line="240" w:lineRule="auto"/>
        <w:rPr>
          <w:rFonts w:cstheme="minorHAnsi"/>
        </w:rPr>
      </w:pPr>
      <w:r w:rsidRPr="00040AFD">
        <w:rPr>
          <w:rFonts w:cstheme="minorHAnsi"/>
        </w:rPr>
        <w:t>The Honorable John Barrasso</w:t>
      </w:r>
    </w:p>
    <w:p w14:paraId="0E881779" w14:textId="1708F9D1" w:rsidR="00326C9B" w:rsidRPr="00040AFD" w:rsidRDefault="00326C9B" w:rsidP="008C47D4">
      <w:pPr>
        <w:spacing w:after="0" w:line="240" w:lineRule="auto"/>
        <w:rPr>
          <w:rFonts w:cstheme="minorHAnsi"/>
        </w:rPr>
      </w:pPr>
      <w:r w:rsidRPr="00040AFD">
        <w:rPr>
          <w:rFonts w:cstheme="minorHAnsi"/>
        </w:rPr>
        <w:t>Ranking Member</w:t>
      </w:r>
    </w:p>
    <w:p w14:paraId="579467D2" w14:textId="61E8189D" w:rsidR="00326C9B" w:rsidRPr="00040AFD" w:rsidRDefault="00326C9B" w:rsidP="00326C9B">
      <w:pPr>
        <w:spacing w:after="0" w:line="240" w:lineRule="auto"/>
        <w:rPr>
          <w:rFonts w:cstheme="minorHAnsi"/>
        </w:rPr>
      </w:pPr>
      <w:r w:rsidRPr="00040AFD">
        <w:rPr>
          <w:rFonts w:cstheme="minorHAnsi"/>
        </w:rPr>
        <w:t>Committee on Energy and Natural Resources</w:t>
      </w:r>
    </w:p>
    <w:p w14:paraId="3F575D63" w14:textId="705C5CD1" w:rsidR="00045E9B" w:rsidRPr="00040AFD" w:rsidRDefault="00045E9B" w:rsidP="00326C9B">
      <w:pPr>
        <w:spacing w:after="0" w:line="240" w:lineRule="auto"/>
        <w:rPr>
          <w:rFonts w:cstheme="minorHAnsi"/>
        </w:rPr>
      </w:pPr>
      <w:r w:rsidRPr="00040AFD">
        <w:rPr>
          <w:rFonts w:cstheme="minorHAnsi"/>
        </w:rPr>
        <w:t>U.S. Senate</w:t>
      </w:r>
    </w:p>
    <w:p w14:paraId="297ED5B3" w14:textId="02A2EC7E" w:rsidR="00326C9B" w:rsidRPr="00040AFD" w:rsidRDefault="00326C9B" w:rsidP="00326C9B">
      <w:pPr>
        <w:spacing w:after="0" w:line="240" w:lineRule="auto"/>
        <w:rPr>
          <w:rFonts w:cstheme="minorHAnsi"/>
        </w:rPr>
      </w:pPr>
      <w:r w:rsidRPr="00040AFD">
        <w:rPr>
          <w:rFonts w:cstheme="minorHAnsi"/>
        </w:rPr>
        <w:t>304 Dirksen Senate Office Building</w:t>
      </w:r>
    </w:p>
    <w:p w14:paraId="01D8EF86" w14:textId="77777777" w:rsidR="00326C9B" w:rsidRPr="00040AFD" w:rsidRDefault="00326C9B" w:rsidP="00326C9B">
      <w:pPr>
        <w:spacing w:after="0" w:line="240" w:lineRule="auto"/>
        <w:rPr>
          <w:rFonts w:cstheme="minorHAnsi"/>
        </w:rPr>
      </w:pPr>
      <w:r w:rsidRPr="00040AFD">
        <w:rPr>
          <w:rFonts w:cstheme="minorHAnsi"/>
        </w:rPr>
        <w:t>Washington, DC 20510</w:t>
      </w:r>
    </w:p>
    <w:p w14:paraId="3D363E98" w14:textId="77777777" w:rsidR="00326C9B" w:rsidRPr="00040AFD" w:rsidRDefault="00326C9B" w:rsidP="00326C9B">
      <w:pPr>
        <w:spacing w:after="0" w:line="240" w:lineRule="auto"/>
        <w:rPr>
          <w:rFonts w:cstheme="minorHAnsi"/>
        </w:rPr>
        <w:sectPr w:rsidR="00326C9B" w:rsidRPr="00040AFD" w:rsidSect="00326C9B">
          <w:type w:val="continuous"/>
          <w:pgSz w:w="12240" w:h="15840"/>
          <w:pgMar w:top="1080" w:right="1440" w:bottom="1440" w:left="1440" w:header="720" w:footer="720" w:gutter="0"/>
          <w:cols w:num="2" w:space="720"/>
          <w:docGrid w:linePitch="360"/>
        </w:sectPr>
      </w:pPr>
    </w:p>
    <w:bookmarkEnd w:id="2"/>
    <w:p w14:paraId="11A5825C" w14:textId="7CF1EA25" w:rsidR="002E2530" w:rsidRPr="00040AFD" w:rsidRDefault="002E2530" w:rsidP="002E2530">
      <w:pPr>
        <w:spacing w:after="0" w:line="240" w:lineRule="auto"/>
        <w:rPr>
          <w:rFonts w:cstheme="minorHAnsi"/>
          <w:b/>
          <w:bCs/>
          <w:i/>
          <w:iCs/>
        </w:rPr>
      </w:pPr>
      <w:r w:rsidRPr="00040AFD">
        <w:rPr>
          <w:rFonts w:cstheme="minorHAnsi"/>
          <w:b/>
          <w:bCs/>
          <w:i/>
          <w:iCs/>
        </w:rPr>
        <w:t>R</w:t>
      </w:r>
      <w:r w:rsidR="00567C54" w:rsidRPr="00040AFD">
        <w:rPr>
          <w:rFonts w:cstheme="minorHAnsi"/>
          <w:b/>
          <w:bCs/>
          <w:i/>
          <w:iCs/>
        </w:rPr>
        <w:t>e</w:t>
      </w:r>
      <w:r w:rsidRPr="00040AFD">
        <w:rPr>
          <w:rFonts w:cstheme="minorHAnsi"/>
          <w:b/>
          <w:bCs/>
          <w:i/>
          <w:iCs/>
        </w:rPr>
        <w:t xml:space="preserve">: </w:t>
      </w:r>
      <w:r w:rsidR="0088159B" w:rsidRPr="00040AFD">
        <w:rPr>
          <w:rFonts w:cstheme="minorHAnsi"/>
          <w:b/>
          <w:bCs/>
          <w:i/>
          <w:iCs/>
        </w:rPr>
        <w:t xml:space="preserve">Iowa Supreme Court Rejects </w:t>
      </w:r>
      <w:r w:rsidR="003A5A6B" w:rsidRPr="00040AFD">
        <w:rPr>
          <w:rFonts w:cstheme="minorHAnsi"/>
          <w:b/>
          <w:bCs/>
          <w:i/>
          <w:iCs/>
        </w:rPr>
        <w:t xml:space="preserve">Electricity Transmission Right of </w:t>
      </w:r>
      <w:r w:rsidR="0088159B" w:rsidRPr="00040AFD">
        <w:rPr>
          <w:rFonts w:cstheme="minorHAnsi"/>
          <w:b/>
          <w:bCs/>
          <w:i/>
          <w:iCs/>
        </w:rPr>
        <w:t>First Refusal Law</w:t>
      </w:r>
      <w:r w:rsidR="003A5A6B" w:rsidRPr="00040AFD">
        <w:rPr>
          <w:rFonts w:cstheme="minorHAnsi"/>
          <w:b/>
          <w:bCs/>
          <w:i/>
          <w:iCs/>
        </w:rPr>
        <w:t xml:space="preserve"> – Described as </w:t>
      </w:r>
      <w:r w:rsidR="0088159B" w:rsidRPr="00040AFD">
        <w:rPr>
          <w:rFonts w:cstheme="minorHAnsi"/>
          <w:b/>
          <w:bCs/>
          <w:i/>
          <w:iCs/>
        </w:rPr>
        <w:t>“</w:t>
      </w:r>
      <w:r w:rsidR="003A5A6B" w:rsidRPr="00040AFD">
        <w:rPr>
          <w:rFonts w:cstheme="minorHAnsi"/>
          <w:b/>
          <w:bCs/>
          <w:i/>
          <w:iCs/>
        </w:rPr>
        <w:t xml:space="preserve">Quintessentially </w:t>
      </w:r>
      <w:r w:rsidR="0088159B" w:rsidRPr="00040AFD">
        <w:rPr>
          <w:rFonts w:cstheme="minorHAnsi"/>
          <w:b/>
          <w:bCs/>
          <w:i/>
          <w:iCs/>
        </w:rPr>
        <w:t>Crony Capitalism</w:t>
      </w:r>
      <w:r w:rsidR="003A5A6B" w:rsidRPr="00040AFD">
        <w:rPr>
          <w:rFonts w:cstheme="minorHAnsi"/>
          <w:b/>
          <w:bCs/>
          <w:i/>
          <w:iCs/>
        </w:rPr>
        <w:t>; Rent Seeking</w:t>
      </w:r>
      <w:r w:rsidR="000528B5" w:rsidRPr="00040AFD">
        <w:rPr>
          <w:rFonts w:cstheme="minorHAnsi"/>
          <w:b/>
          <w:bCs/>
          <w:i/>
          <w:iCs/>
        </w:rPr>
        <w:t>;</w:t>
      </w:r>
      <w:r w:rsidR="003A5A6B" w:rsidRPr="00040AFD">
        <w:rPr>
          <w:rFonts w:cstheme="minorHAnsi"/>
          <w:b/>
          <w:bCs/>
          <w:i/>
          <w:iCs/>
        </w:rPr>
        <w:t xml:space="preserve"> Protectionist and Anti-Competitive</w:t>
      </w:r>
      <w:r w:rsidR="0088159B" w:rsidRPr="00040AFD">
        <w:rPr>
          <w:rFonts w:cstheme="minorHAnsi"/>
          <w:b/>
          <w:bCs/>
          <w:i/>
          <w:iCs/>
        </w:rPr>
        <w:t>”</w:t>
      </w:r>
    </w:p>
    <w:p w14:paraId="1586CC7B" w14:textId="77777777" w:rsidR="002E2530" w:rsidRPr="00040AFD" w:rsidRDefault="002E2530" w:rsidP="002E2530">
      <w:pPr>
        <w:spacing w:after="0" w:line="240" w:lineRule="auto"/>
        <w:rPr>
          <w:rFonts w:cstheme="minorHAnsi"/>
        </w:rPr>
      </w:pPr>
    </w:p>
    <w:p w14:paraId="2A8DF24F" w14:textId="77777777" w:rsidR="00040AFD" w:rsidRDefault="00040AFD" w:rsidP="00C45E1A">
      <w:pPr>
        <w:pStyle w:val="NoSpacing"/>
      </w:pPr>
      <w:r w:rsidRPr="00040AFD">
        <w:t>Dear Chairman Manchin and Ranking Member Barrasso:</w:t>
      </w:r>
    </w:p>
    <w:p w14:paraId="6A85A5B9" w14:textId="77777777" w:rsidR="00C45E1A" w:rsidRPr="00040AFD" w:rsidRDefault="00C45E1A" w:rsidP="00C45E1A">
      <w:pPr>
        <w:pStyle w:val="NoSpacing"/>
      </w:pPr>
    </w:p>
    <w:p w14:paraId="14FBF334" w14:textId="3EDE98AA" w:rsidR="009F4F6C" w:rsidRDefault="00040AFD" w:rsidP="00C45E1A">
      <w:pPr>
        <w:pStyle w:val="NoSpacing"/>
      </w:pPr>
      <w:r w:rsidRPr="00040AFD">
        <w:t>America’s electricity consumers once again reach out to you to ask for your support in reminding the Federal Energy Regulatory Commission (FERC) that their core mission under the Federal Power Act is to protect electricity consumers</w:t>
      </w:r>
      <w:r w:rsidRPr="00040AFD">
        <w:rPr>
          <w:rStyle w:val="FootnoteReference"/>
          <w:rFonts w:cstheme="minorHAnsi"/>
        </w:rPr>
        <w:footnoteReference w:id="1"/>
      </w:r>
      <w:r w:rsidRPr="00040AFD">
        <w:t xml:space="preserve"> and that you do not support FERC backtracking on transmission competition as their current Notice of Proposed Rulemaking (NOPR)</w:t>
      </w:r>
      <w:r w:rsidRPr="00040AFD">
        <w:rPr>
          <w:rStyle w:val="FootnoteReference"/>
          <w:rFonts w:cstheme="minorHAnsi"/>
        </w:rPr>
        <w:footnoteReference w:id="2"/>
      </w:r>
      <w:r w:rsidR="009F4F6C">
        <w:t xml:space="preserve"> contemplates.</w:t>
      </w:r>
      <w:r w:rsidRPr="00040AFD">
        <w:t xml:space="preserve">  </w:t>
      </w:r>
    </w:p>
    <w:p w14:paraId="36F22A9D" w14:textId="77777777" w:rsidR="009F4F6C" w:rsidRDefault="009F4F6C" w:rsidP="00C45E1A">
      <w:pPr>
        <w:pStyle w:val="NoSpacing"/>
      </w:pPr>
    </w:p>
    <w:p w14:paraId="5C685F11" w14:textId="04CA521E" w:rsidR="00040AFD" w:rsidRPr="00040AFD" w:rsidRDefault="008E7F87" w:rsidP="00C45E1A">
      <w:pPr>
        <w:pStyle w:val="NoSpacing"/>
      </w:pPr>
      <w:r>
        <w:t xml:space="preserve">Competitive bidding of new transmission projects </w:t>
      </w:r>
      <w:r w:rsidR="00E318A0">
        <w:t xml:space="preserve">reduces electricity costs </w:t>
      </w:r>
      <w:r w:rsidR="00040AFD" w:rsidRPr="00040AFD">
        <w:t>for consumers</w:t>
      </w:r>
      <w:r w:rsidR="004231BB">
        <w:t xml:space="preserve">, </w:t>
      </w:r>
      <w:r w:rsidR="00E318A0">
        <w:t xml:space="preserve">is </w:t>
      </w:r>
      <w:proofErr w:type="gramStart"/>
      <w:r w:rsidR="004231BB">
        <w:t>sound</w:t>
      </w:r>
      <w:proofErr w:type="gramEnd"/>
      <w:r w:rsidR="004231BB">
        <w:t xml:space="preserve"> anti-inflationary policy</w:t>
      </w:r>
      <w:r w:rsidR="009F4F6C">
        <w:t>,</w:t>
      </w:r>
      <w:r w:rsidR="004231BB">
        <w:t xml:space="preserve"> and</w:t>
      </w:r>
      <w:r w:rsidR="00040AFD" w:rsidRPr="00040AFD">
        <w:t xml:space="preserve"> is a bipartisan conclusion.  Under both President</w:t>
      </w:r>
      <w:r w:rsidR="009F4F6C">
        <w:t>s</w:t>
      </w:r>
      <w:r w:rsidR="00040AFD" w:rsidRPr="00040AFD">
        <w:t xml:space="preserve"> Trump and Biden, the Department of Justice </w:t>
      </w:r>
      <w:r w:rsidR="009F4F6C">
        <w:t xml:space="preserve">(DOJ) </w:t>
      </w:r>
      <w:r w:rsidR="00040AFD" w:rsidRPr="00040AFD">
        <w:t>has challenged state incumbent preference laws (also known as rights of first refusal laws) that seek to circumvent FERC’s existing requirements for transmission competition.</w:t>
      </w:r>
      <w:r w:rsidR="00040AFD" w:rsidRPr="00040AFD">
        <w:rPr>
          <w:rStyle w:val="FootnoteReference"/>
          <w:rFonts w:cstheme="minorHAnsi"/>
        </w:rPr>
        <w:footnoteReference w:id="3"/>
      </w:r>
      <w:r w:rsidR="00040AFD" w:rsidRPr="00040AFD">
        <w:t xml:space="preserve">  </w:t>
      </w:r>
      <w:r w:rsidR="009F4F6C">
        <w:t>Last year, DOJ</w:t>
      </w:r>
      <w:r w:rsidR="00040AFD" w:rsidRPr="00040AFD">
        <w:t>, this time joined by the Federal Trade Commission</w:t>
      </w:r>
      <w:r w:rsidR="009F4F6C">
        <w:t xml:space="preserve"> (FTC)</w:t>
      </w:r>
      <w:r w:rsidR="00040AFD" w:rsidRPr="00040AFD">
        <w:t>, reiterated that stance in comments on the NOPR’s proposal to significantly abandon transmission competition.</w:t>
      </w:r>
      <w:r w:rsidR="00040AFD" w:rsidRPr="00040AFD">
        <w:rPr>
          <w:rStyle w:val="FootnoteReference"/>
          <w:rFonts w:cstheme="minorHAnsi"/>
        </w:rPr>
        <w:footnoteReference w:id="4"/>
      </w:r>
      <w:r w:rsidR="00040AFD" w:rsidRPr="00040AFD">
        <w:t xml:space="preserve">  </w:t>
      </w:r>
    </w:p>
    <w:p w14:paraId="567A069C" w14:textId="77777777" w:rsidR="000D0CA4" w:rsidRDefault="000D0CA4" w:rsidP="00040AFD">
      <w:pPr>
        <w:spacing w:after="0" w:line="240" w:lineRule="auto"/>
        <w:rPr>
          <w:rFonts w:cstheme="minorHAnsi"/>
        </w:rPr>
      </w:pPr>
    </w:p>
    <w:p w14:paraId="2B13FF7F" w14:textId="15BB30A0" w:rsidR="00040AFD" w:rsidRPr="00040AFD" w:rsidRDefault="00040AFD" w:rsidP="00040AFD">
      <w:pPr>
        <w:spacing w:after="0" w:line="240" w:lineRule="auto"/>
        <w:rPr>
          <w:rFonts w:cstheme="minorHAnsi"/>
        </w:rPr>
      </w:pPr>
      <w:r w:rsidRPr="00040AFD">
        <w:rPr>
          <w:rFonts w:cstheme="minorHAnsi"/>
        </w:rPr>
        <w:t>FERC’s Order No. 1000,</w:t>
      </w:r>
      <w:r w:rsidRPr="00040AFD">
        <w:rPr>
          <w:rStyle w:val="FootnoteReference"/>
          <w:rFonts w:cstheme="minorHAnsi"/>
        </w:rPr>
        <w:footnoteReference w:id="5"/>
      </w:r>
      <w:r w:rsidRPr="00040AFD">
        <w:rPr>
          <w:rFonts w:cstheme="minorHAnsi"/>
        </w:rPr>
        <w:t xml:space="preserve"> issued over a decade ago, found that transmission competition was essential to FERC’s duty to determine just and reasonable rates and that eliminating contractual preferences in tariffs or agreements under federal jurisdiction was in the public interest.</w:t>
      </w:r>
      <w:r w:rsidRPr="00040AFD">
        <w:rPr>
          <w:rStyle w:val="FootnoteReference"/>
          <w:rFonts w:cstheme="minorHAnsi"/>
        </w:rPr>
        <w:footnoteReference w:id="6"/>
      </w:r>
      <w:r w:rsidRPr="00040AFD">
        <w:rPr>
          <w:rFonts w:cstheme="minorHAnsi"/>
        </w:rPr>
        <w:t xml:space="preserve">  FERC’s pronouncement about the benefits of competition on transmission rates proved correct as </w:t>
      </w:r>
      <w:r w:rsidR="009F4F6C">
        <w:rPr>
          <w:rFonts w:cstheme="minorHAnsi"/>
        </w:rPr>
        <w:t xml:space="preserve">savings from </w:t>
      </w:r>
      <w:r w:rsidRPr="00040AFD">
        <w:rPr>
          <w:rFonts w:cstheme="minorHAnsi"/>
        </w:rPr>
        <w:t xml:space="preserve">competed projects </w:t>
      </w:r>
      <w:r w:rsidRPr="00040AFD">
        <w:rPr>
          <w:rFonts w:eastAsia="Calibri" w:cstheme="minorHAnsi"/>
        </w:rPr>
        <w:t>are significant and consistent with studies that have shown that competition could reduce the cost of transmission projects by up to 40 percent.</w:t>
      </w:r>
      <w:r w:rsidRPr="00040AFD">
        <w:rPr>
          <w:rFonts w:eastAsia="Calibri" w:cstheme="minorHAnsi"/>
          <w:vertAlign w:val="superscript"/>
        </w:rPr>
        <w:footnoteReference w:id="7"/>
      </w:r>
      <w:r w:rsidRPr="00040AFD">
        <w:rPr>
          <w:rFonts w:eastAsia="Calibri" w:cstheme="minorHAnsi"/>
        </w:rPr>
        <w:t xml:space="preserve">  Y</w:t>
      </w:r>
      <w:r w:rsidRPr="00040AFD">
        <w:rPr>
          <w:rFonts w:cstheme="minorHAnsi"/>
        </w:rPr>
        <w:t xml:space="preserve">et only three percent of all transmission investment </w:t>
      </w:r>
      <w:r w:rsidRPr="00040AFD">
        <w:rPr>
          <w:rFonts w:cstheme="minorHAnsi"/>
        </w:rPr>
        <w:lastRenderedPageBreak/>
        <w:t>since Order No. 1000 has been competitively awarded because of a lack of FERC enforcement of Order No. 1000 and incumbent lobbying efforts at the state level.  With one study suggesting the United States may need to spend $2.1 trillion by 2050</w:t>
      </w:r>
      <w:r w:rsidRPr="00040AFD">
        <w:rPr>
          <w:rStyle w:val="FootnoteReference"/>
          <w:rFonts w:cstheme="minorHAnsi"/>
        </w:rPr>
        <w:footnoteReference w:id="8"/>
      </w:r>
      <w:r w:rsidRPr="00040AFD">
        <w:rPr>
          <w:rFonts w:cstheme="minorHAnsi"/>
        </w:rPr>
        <w:t xml:space="preserve"> to build-out the transmission grid, time is of the essence and your voice is essential now.</w:t>
      </w:r>
    </w:p>
    <w:p w14:paraId="393D6954" w14:textId="77777777" w:rsidR="00040AFD" w:rsidRPr="00040AFD" w:rsidRDefault="00040AFD" w:rsidP="00040AFD">
      <w:pPr>
        <w:spacing w:after="0" w:line="240" w:lineRule="auto"/>
        <w:rPr>
          <w:rFonts w:cstheme="minorHAnsi"/>
        </w:rPr>
      </w:pPr>
    </w:p>
    <w:p w14:paraId="03FE8C38" w14:textId="17F654A1" w:rsidR="00040AFD" w:rsidRPr="00040AFD" w:rsidRDefault="00040AFD" w:rsidP="00040AFD">
      <w:pPr>
        <w:spacing w:after="0" w:line="240" w:lineRule="auto"/>
        <w:rPr>
          <w:rFonts w:cstheme="minorHAnsi"/>
        </w:rPr>
      </w:pPr>
      <w:r w:rsidRPr="00040AFD">
        <w:rPr>
          <w:rFonts w:cstheme="minorHAnsi"/>
        </w:rPr>
        <w:t>Just weeks</w:t>
      </w:r>
      <w:r w:rsidR="009F4F6C">
        <w:rPr>
          <w:rFonts w:cstheme="minorHAnsi"/>
        </w:rPr>
        <w:t>,</w:t>
      </w:r>
      <w:r w:rsidRPr="00040AFD">
        <w:rPr>
          <w:rFonts w:cstheme="minorHAnsi"/>
        </w:rPr>
        <w:t xml:space="preserve"> ago the Supreme Court of Iowa added their voice to Senators Heinrich and Lee,</w:t>
      </w:r>
      <w:r w:rsidRPr="00040AFD">
        <w:rPr>
          <w:rStyle w:val="FootnoteReference"/>
          <w:rFonts w:cstheme="minorHAnsi"/>
        </w:rPr>
        <w:footnoteReference w:id="9"/>
      </w:r>
      <w:r w:rsidRPr="00040AFD">
        <w:rPr>
          <w:rFonts w:cstheme="minorHAnsi"/>
        </w:rPr>
        <w:t xml:space="preserve"> the DOJ, FTC, the Un</w:t>
      </w:r>
      <w:r w:rsidR="009F4F6C">
        <w:rPr>
          <w:rFonts w:cstheme="minorHAnsi"/>
        </w:rPr>
        <w:t>i</w:t>
      </w:r>
      <w:r w:rsidRPr="00040AFD">
        <w:rPr>
          <w:rFonts w:cstheme="minorHAnsi"/>
        </w:rPr>
        <w:t>ted States Court of Appeals for the Fifth Circuit, and hundreds of consumers and bipartisan groups</w:t>
      </w:r>
      <w:r w:rsidRPr="00040AFD">
        <w:rPr>
          <w:rStyle w:val="FootnoteReference"/>
          <w:rFonts w:cstheme="minorHAnsi"/>
        </w:rPr>
        <w:footnoteReference w:id="10"/>
      </w:r>
      <w:r w:rsidRPr="00040AFD">
        <w:rPr>
          <w:rFonts w:cstheme="minorHAnsi"/>
        </w:rPr>
        <w:t xml:space="preserve"> in saying that consumers need competition to tackle the </w:t>
      </w:r>
      <w:r w:rsidR="009F4F6C" w:rsidRPr="00040AFD">
        <w:rPr>
          <w:rFonts w:cstheme="minorHAnsi"/>
        </w:rPr>
        <w:t>ever-rising</w:t>
      </w:r>
      <w:r w:rsidRPr="00040AFD">
        <w:rPr>
          <w:rFonts w:cstheme="minorHAnsi"/>
        </w:rPr>
        <w:t xml:space="preserve"> electricity costs.  The Iowa Supreme Court was very succinct that preferences are “quintessentially crony capitalism . . .  rent-seeking, protectionist legislation is anticompetitive.”</w:t>
      </w:r>
      <w:r w:rsidRPr="00040AFD">
        <w:rPr>
          <w:rStyle w:val="FootnoteReference"/>
          <w:rFonts w:cstheme="minorHAnsi"/>
        </w:rPr>
        <w:footnoteReference w:id="11"/>
      </w:r>
      <w:r w:rsidRPr="00040AFD">
        <w:rPr>
          <w:rFonts w:cstheme="minorHAnsi"/>
        </w:rPr>
        <w:t xml:space="preserve">  This conclusion is true whether the preference arises from a state preference law geared to get around the </w:t>
      </w:r>
      <w:r w:rsidR="009F4F6C">
        <w:rPr>
          <w:rFonts w:cstheme="minorHAnsi"/>
        </w:rPr>
        <w:t>F</w:t>
      </w:r>
      <w:r w:rsidRPr="00040AFD">
        <w:rPr>
          <w:rFonts w:cstheme="minorHAnsi"/>
        </w:rPr>
        <w:t>ederal Power Act and FERC rules or incorporated by FERC itself.  As the Iowa Supreme Court held, “common sense tells us that competitive bidding will lower the cost of upgrading Iowa’s electric grid and that eliminating competition will enable the incumbent to command higher prices for both construction and maintenance.”</w:t>
      </w:r>
      <w:r w:rsidRPr="00040AFD">
        <w:rPr>
          <w:rStyle w:val="FootnoteReference"/>
          <w:rFonts w:cstheme="minorHAnsi"/>
        </w:rPr>
        <w:footnoteReference w:id="12"/>
      </w:r>
      <w:r w:rsidRPr="00040AFD">
        <w:rPr>
          <w:rFonts w:cstheme="minorHAnsi"/>
        </w:rPr>
        <w:t xml:space="preserve"> </w:t>
      </w:r>
    </w:p>
    <w:p w14:paraId="5755E582" w14:textId="77777777" w:rsidR="00040AFD" w:rsidRPr="00040AFD" w:rsidRDefault="00040AFD" w:rsidP="00040AFD">
      <w:pPr>
        <w:spacing w:after="0" w:line="240" w:lineRule="auto"/>
        <w:rPr>
          <w:rFonts w:cstheme="minorHAnsi"/>
        </w:rPr>
      </w:pPr>
    </w:p>
    <w:p w14:paraId="155289AA" w14:textId="7B0E0F11" w:rsidR="00040AFD" w:rsidRDefault="00040AFD" w:rsidP="00040AFD">
      <w:pPr>
        <w:spacing w:after="0" w:line="240" w:lineRule="auto"/>
        <w:rPr>
          <w:rFonts w:cstheme="minorHAnsi"/>
        </w:rPr>
      </w:pPr>
      <w:r w:rsidRPr="00040AFD">
        <w:rPr>
          <w:rFonts w:cstheme="minorHAnsi"/>
        </w:rPr>
        <w:t>As Senators focused on common sense measures for the public benefit,</w:t>
      </w:r>
      <w:r w:rsidRPr="00040AFD">
        <w:rPr>
          <w:rStyle w:val="FootnoteReference"/>
          <w:rFonts w:cstheme="minorHAnsi"/>
        </w:rPr>
        <w:footnoteReference w:id="13"/>
      </w:r>
      <w:r w:rsidRPr="00040AFD">
        <w:rPr>
          <w:rFonts w:cstheme="minorHAnsi"/>
        </w:rPr>
        <w:t xml:space="preserve"> we ask that you lend your voice, and ultimately that of the entire Energy and Natural Resources Committee</w:t>
      </w:r>
      <w:r w:rsidR="009F4F6C">
        <w:rPr>
          <w:rFonts w:cstheme="minorHAnsi"/>
        </w:rPr>
        <w:t>,</w:t>
      </w:r>
      <w:r w:rsidRPr="00040AFD">
        <w:rPr>
          <w:rFonts w:cstheme="minorHAnsi"/>
        </w:rPr>
        <w:t xml:space="preserve"> to remind FERC that consumers come first, even during times of transition and that more transmission competition is the right direction, not less.  The cost reductions from projects that have been competitively bid across the country and the opinion of the Iowa Supreme Court shows just how out of step the FERC’s transmission planning NOPR is on this critical issue.  We urge you to tell FERC that transmission competition is essential to their mission, and to support the ETCC initiatives.</w:t>
      </w:r>
      <w:r w:rsidRPr="00040AFD">
        <w:rPr>
          <w:rStyle w:val="FootnoteReference"/>
          <w:rFonts w:cstheme="minorHAnsi"/>
        </w:rPr>
        <w:footnoteReference w:id="14"/>
      </w:r>
    </w:p>
    <w:p w14:paraId="6564E719" w14:textId="77777777" w:rsidR="009F4F6C" w:rsidRPr="00040AFD" w:rsidRDefault="009F4F6C" w:rsidP="00040AFD">
      <w:pPr>
        <w:spacing w:after="0" w:line="240" w:lineRule="auto"/>
        <w:rPr>
          <w:rFonts w:cstheme="minorHAnsi"/>
        </w:rPr>
      </w:pPr>
    </w:p>
    <w:p w14:paraId="041AB187" w14:textId="73A39FB6" w:rsidR="00567C54" w:rsidRPr="00040AFD" w:rsidRDefault="00F37212" w:rsidP="00567C54">
      <w:pPr>
        <w:spacing w:after="0" w:line="240" w:lineRule="auto"/>
        <w:rPr>
          <w:rFonts w:cstheme="minorHAnsi"/>
          <w:lang w:val="es-ES"/>
        </w:rPr>
      </w:pPr>
      <w:proofErr w:type="spellStart"/>
      <w:r w:rsidRPr="00040AFD">
        <w:rPr>
          <w:rFonts w:cstheme="minorHAnsi"/>
          <w:lang w:val="es-ES"/>
        </w:rPr>
        <w:t>Sincerely</w:t>
      </w:r>
      <w:proofErr w:type="spellEnd"/>
      <w:r w:rsidRPr="00040AFD">
        <w:rPr>
          <w:rFonts w:cstheme="minorHAnsi"/>
          <w:lang w:val="es-ES"/>
        </w:rPr>
        <w:t>,</w:t>
      </w:r>
    </w:p>
    <w:p w14:paraId="673310A9" w14:textId="77777777" w:rsidR="007370DE" w:rsidRPr="004232D7" w:rsidRDefault="007370DE" w:rsidP="00567C54">
      <w:pPr>
        <w:spacing w:after="0" w:line="240" w:lineRule="auto"/>
        <w:rPr>
          <w:rFonts w:cstheme="minorHAnsi"/>
          <w:lang w:val="es-ES"/>
        </w:rPr>
      </w:pPr>
    </w:p>
    <w:p w14:paraId="1B665F51" w14:textId="64985FC5" w:rsidR="00933510" w:rsidRPr="00C1466C" w:rsidRDefault="00933510" w:rsidP="00933510">
      <w:pPr>
        <w:spacing w:after="0" w:line="240" w:lineRule="auto"/>
        <w:rPr>
          <w:rFonts w:ascii="Brush Script MT" w:hAnsi="Brush Script MT" w:cstheme="minorHAnsi"/>
          <w:sz w:val="30"/>
          <w:szCs w:val="30"/>
          <w:lang w:val="es-ES"/>
        </w:rPr>
      </w:pPr>
      <w:r w:rsidRPr="00C1466C">
        <w:rPr>
          <w:rFonts w:ascii="Brush Script MT" w:hAnsi="Brush Script MT" w:cstheme="minorHAnsi"/>
          <w:sz w:val="30"/>
          <w:szCs w:val="30"/>
          <w:lang w:val="es-ES"/>
        </w:rPr>
        <w:t>Paul N. Cicio</w:t>
      </w:r>
    </w:p>
    <w:p w14:paraId="514C6CA9" w14:textId="77777777" w:rsidR="003B4DDE" w:rsidRPr="00C1466C" w:rsidRDefault="003B4DDE" w:rsidP="003B4DDE">
      <w:pPr>
        <w:spacing w:after="0" w:line="240" w:lineRule="auto"/>
        <w:rPr>
          <w:rFonts w:cstheme="minorHAnsi"/>
          <w:lang w:val="es-ES"/>
        </w:rPr>
      </w:pPr>
      <w:r w:rsidRPr="00C1466C">
        <w:rPr>
          <w:rFonts w:cstheme="minorHAnsi"/>
          <w:lang w:val="es-ES"/>
        </w:rPr>
        <w:t>Paul N. Cicio</w:t>
      </w:r>
    </w:p>
    <w:p w14:paraId="340B10FD" w14:textId="2B551CC4" w:rsidR="00D237DB" w:rsidRPr="00C1466C" w:rsidRDefault="00933510" w:rsidP="00D237DB">
      <w:pPr>
        <w:spacing w:after="0" w:line="240" w:lineRule="auto"/>
        <w:rPr>
          <w:rFonts w:cstheme="minorHAnsi"/>
        </w:rPr>
      </w:pPr>
      <w:r w:rsidRPr="00C1466C">
        <w:rPr>
          <w:rFonts w:cstheme="minorHAnsi"/>
        </w:rPr>
        <w:t xml:space="preserve">Chairman, Electricity Transmission Competition Coalition </w:t>
      </w:r>
      <w:bookmarkStart w:id="3" w:name="_Hlk103331924"/>
    </w:p>
    <w:p w14:paraId="7DA7C52C" w14:textId="5235354B" w:rsidR="00D237DB" w:rsidRPr="00C1466C" w:rsidRDefault="00000000" w:rsidP="00D237DB">
      <w:pPr>
        <w:spacing w:after="0" w:line="240" w:lineRule="auto"/>
        <w:rPr>
          <w:rStyle w:val="Hyperlink"/>
        </w:rPr>
      </w:pPr>
      <w:hyperlink r:id="rId9" w:history="1">
        <w:r w:rsidR="00D237DB" w:rsidRPr="00C1466C">
          <w:rPr>
            <w:rStyle w:val="Hyperlink"/>
          </w:rPr>
          <w:t>https://electricitytransmissioncompetitioncoalition.org/</w:t>
        </w:r>
      </w:hyperlink>
    </w:p>
    <w:p w14:paraId="5E4A517D" w14:textId="6425210B" w:rsidR="00DE7FF6" w:rsidRPr="00C1466C" w:rsidRDefault="00DE7FF6" w:rsidP="00D237DB">
      <w:pPr>
        <w:spacing w:after="0" w:line="240" w:lineRule="auto"/>
        <w:rPr>
          <w:rStyle w:val="Hyperlink"/>
        </w:rPr>
      </w:pPr>
    </w:p>
    <w:p w14:paraId="28116C5B" w14:textId="5AA3926A" w:rsidR="0042364B" w:rsidRDefault="00C1466C" w:rsidP="00D237DB">
      <w:pPr>
        <w:spacing w:after="0" w:line="240" w:lineRule="auto"/>
        <w:rPr>
          <w:rFonts w:cstheme="minorHAnsi"/>
        </w:rPr>
      </w:pPr>
      <w:r w:rsidRPr="00C1466C">
        <w:rPr>
          <w:rFonts w:cstheme="minorHAnsi"/>
        </w:rPr>
        <w:t>cc:</w:t>
      </w:r>
      <w:r w:rsidRPr="00C1466C">
        <w:rPr>
          <w:rFonts w:cstheme="minorHAnsi"/>
        </w:rPr>
        <w:tab/>
        <w:t>Senate Committee on Energy and Natural Resources</w:t>
      </w:r>
    </w:p>
    <w:p w14:paraId="5EF9F2CE" w14:textId="1EFA7623" w:rsidR="00482DA3" w:rsidRDefault="00482DA3" w:rsidP="00D237DB">
      <w:pPr>
        <w:spacing w:after="0" w:line="240" w:lineRule="auto"/>
        <w:rPr>
          <w:rFonts w:cstheme="minorHAnsi"/>
        </w:rPr>
      </w:pPr>
      <w:r>
        <w:rPr>
          <w:rFonts w:cstheme="minorHAnsi"/>
        </w:rPr>
        <w:tab/>
        <w:t>Federal Energy Regulatory Commission</w:t>
      </w:r>
    </w:p>
    <w:p w14:paraId="20CB25C5" w14:textId="553563FD" w:rsidR="00482DA3" w:rsidRPr="00C1466C" w:rsidRDefault="00482DA3" w:rsidP="00D237DB">
      <w:pPr>
        <w:spacing w:after="0" w:line="240" w:lineRule="auto"/>
        <w:rPr>
          <w:rFonts w:cstheme="minorHAnsi"/>
        </w:rPr>
      </w:pPr>
      <w:r>
        <w:rPr>
          <w:rFonts w:cstheme="minorHAnsi"/>
        </w:rPr>
        <w:tab/>
        <w:t>The Honorable Jennifer Granholm</w:t>
      </w:r>
    </w:p>
    <w:p w14:paraId="34723B8F" w14:textId="2663EB41" w:rsidR="006570E2" w:rsidRPr="008B666F" w:rsidRDefault="00524AC3" w:rsidP="00241DF6">
      <w:pPr>
        <w:rPr>
          <w:rFonts w:cstheme="minorHAnsi"/>
          <w:b/>
          <w:bCs/>
          <w:sz w:val="24"/>
          <w:szCs w:val="24"/>
        </w:rPr>
      </w:pPr>
      <w:r w:rsidRPr="008B666F">
        <w:rPr>
          <w:rFonts w:cstheme="minorHAnsi"/>
          <w:b/>
          <w:bCs/>
          <w:sz w:val="24"/>
          <w:szCs w:val="24"/>
        </w:rPr>
        <w:lastRenderedPageBreak/>
        <w:t xml:space="preserve">MEMBERS OF THE ELECTRICITY TRANSMISSION </w:t>
      </w:r>
      <w:r w:rsidR="00F6233A">
        <w:rPr>
          <w:rFonts w:cstheme="minorHAnsi"/>
          <w:b/>
          <w:bCs/>
          <w:sz w:val="24"/>
          <w:szCs w:val="24"/>
        </w:rPr>
        <w:t xml:space="preserve">COMPETITION </w:t>
      </w:r>
      <w:r w:rsidRPr="008B666F">
        <w:rPr>
          <w:rFonts w:cstheme="minorHAnsi"/>
          <w:b/>
          <w:bCs/>
          <w:sz w:val="24"/>
          <w:szCs w:val="24"/>
        </w:rPr>
        <w:t>COALITON</w:t>
      </w:r>
      <w:r w:rsidR="00F6233A">
        <w:rPr>
          <w:rFonts w:cstheme="minorHAnsi"/>
          <w:b/>
          <w:bCs/>
          <w:sz w:val="24"/>
          <w:szCs w:val="24"/>
        </w:rPr>
        <w:t xml:space="preserve"> (ETCC)</w:t>
      </w:r>
    </w:p>
    <w:p w14:paraId="4D125DFF" w14:textId="77777777" w:rsidR="00CF4852" w:rsidRPr="00C1466C" w:rsidRDefault="00CF4852" w:rsidP="00CF4852">
      <w:pPr>
        <w:spacing w:after="0" w:line="240" w:lineRule="auto"/>
        <w:rPr>
          <w:rFonts w:cstheme="minorHAnsi"/>
        </w:rPr>
      </w:pPr>
      <w:r w:rsidRPr="00C1466C">
        <w:rPr>
          <w:rFonts w:cstheme="minorHAnsi"/>
        </w:rPr>
        <w:t xml:space="preserve">Ag Processing </w:t>
      </w:r>
    </w:p>
    <w:p w14:paraId="54ACCC36" w14:textId="77777777" w:rsidR="00CF4852" w:rsidRPr="00C1466C" w:rsidRDefault="00CF4852" w:rsidP="00CF4852">
      <w:pPr>
        <w:spacing w:after="0" w:line="240" w:lineRule="auto"/>
        <w:rPr>
          <w:rFonts w:cstheme="minorHAnsi"/>
        </w:rPr>
      </w:pPr>
      <w:r w:rsidRPr="00C1466C">
        <w:rPr>
          <w:rFonts w:cstheme="minorHAnsi"/>
        </w:rPr>
        <w:t xml:space="preserve">Alliance of Western Energy Consumers </w:t>
      </w:r>
    </w:p>
    <w:p w14:paraId="042325E3" w14:textId="77777777" w:rsidR="00CF4852" w:rsidRPr="00C1466C" w:rsidRDefault="00CF4852" w:rsidP="00CF4852">
      <w:pPr>
        <w:spacing w:after="0" w:line="240" w:lineRule="auto"/>
        <w:rPr>
          <w:rFonts w:cstheme="minorHAnsi"/>
        </w:rPr>
      </w:pPr>
      <w:r w:rsidRPr="00C1466C">
        <w:rPr>
          <w:rFonts w:cstheme="minorHAnsi"/>
        </w:rPr>
        <w:t xml:space="preserve">Aluminum Association </w:t>
      </w:r>
    </w:p>
    <w:p w14:paraId="53712904" w14:textId="77777777" w:rsidR="00CF4852" w:rsidRPr="00C1466C" w:rsidRDefault="00CF4852" w:rsidP="00CF4852">
      <w:pPr>
        <w:spacing w:after="0" w:line="240" w:lineRule="auto"/>
        <w:rPr>
          <w:rFonts w:cstheme="minorHAnsi"/>
        </w:rPr>
      </w:pPr>
      <w:r w:rsidRPr="00C1466C">
        <w:rPr>
          <w:rFonts w:cstheme="minorHAnsi"/>
        </w:rPr>
        <w:t xml:space="preserve">American Chemistry Council </w:t>
      </w:r>
    </w:p>
    <w:p w14:paraId="373F5718" w14:textId="77777777" w:rsidR="00CF4852" w:rsidRPr="00C1466C" w:rsidRDefault="00CF4852" w:rsidP="00CF4852">
      <w:pPr>
        <w:spacing w:after="0" w:line="240" w:lineRule="auto"/>
        <w:rPr>
          <w:rFonts w:cstheme="minorHAnsi"/>
        </w:rPr>
      </w:pPr>
      <w:r w:rsidRPr="00C1466C">
        <w:rPr>
          <w:rFonts w:cstheme="minorHAnsi"/>
        </w:rPr>
        <w:t xml:space="preserve">American Forest and Paper Association </w:t>
      </w:r>
    </w:p>
    <w:p w14:paraId="13FD08FD" w14:textId="77777777" w:rsidR="00CF4852" w:rsidRPr="00C1466C" w:rsidRDefault="00CF4852" w:rsidP="00CF4852">
      <w:pPr>
        <w:spacing w:after="0" w:line="240" w:lineRule="auto"/>
        <w:rPr>
          <w:rFonts w:cstheme="minorHAnsi"/>
        </w:rPr>
      </w:pPr>
      <w:r w:rsidRPr="00C1466C">
        <w:rPr>
          <w:rFonts w:cstheme="minorHAnsi"/>
        </w:rPr>
        <w:t xml:space="preserve">American Foundry Society </w:t>
      </w:r>
    </w:p>
    <w:p w14:paraId="6D4EA082" w14:textId="77777777" w:rsidR="00CF4852" w:rsidRPr="00C1466C" w:rsidRDefault="00CF4852" w:rsidP="00CF4852">
      <w:pPr>
        <w:spacing w:after="0" w:line="240" w:lineRule="auto"/>
        <w:rPr>
          <w:rFonts w:cstheme="minorHAnsi"/>
        </w:rPr>
      </w:pPr>
      <w:r w:rsidRPr="00C1466C">
        <w:rPr>
          <w:rFonts w:cstheme="minorHAnsi"/>
        </w:rPr>
        <w:t xml:space="preserve">American Iron and Steel Institute </w:t>
      </w:r>
    </w:p>
    <w:p w14:paraId="7C7089D1" w14:textId="77777777" w:rsidR="00CF4852" w:rsidRPr="00C1466C" w:rsidRDefault="00CF4852" w:rsidP="00CF4852">
      <w:pPr>
        <w:spacing w:after="0" w:line="240" w:lineRule="auto"/>
        <w:rPr>
          <w:rFonts w:cstheme="minorHAnsi"/>
        </w:rPr>
      </w:pPr>
      <w:r w:rsidRPr="00C1466C">
        <w:rPr>
          <w:rFonts w:cstheme="minorHAnsi"/>
        </w:rPr>
        <w:t xml:space="preserve">Ardagh Group </w:t>
      </w:r>
    </w:p>
    <w:p w14:paraId="04641B07" w14:textId="77777777" w:rsidR="00CF4852" w:rsidRPr="00C1466C" w:rsidRDefault="00CF4852" w:rsidP="00CF4852">
      <w:pPr>
        <w:spacing w:after="0" w:line="240" w:lineRule="auto"/>
        <w:rPr>
          <w:rFonts w:cstheme="minorHAnsi"/>
        </w:rPr>
      </w:pPr>
      <w:proofErr w:type="spellStart"/>
      <w:r w:rsidRPr="00C1466C">
        <w:rPr>
          <w:rFonts w:cstheme="minorHAnsi"/>
        </w:rPr>
        <w:t>Arglass</w:t>
      </w:r>
      <w:proofErr w:type="spellEnd"/>
      <w:r w:rsidRPr="00C1466C">
        <w:rPr>
          <w:rFonts w:cstheme="minorHAnsi"/>
        </w:rPr>
        <w:t xml:space="preserve"> Yamamura </w:t>
      </w:r>
    </w:p>
    <w:p w14:paraId="0F6D9803" w14:textId="77777777" w:rsidR="00CF4852" w:rsidRPr="00C1466C" w:rsidRDefault="00CF4852" w:rsidP="00CF4852">
      <w:pPr>
        <w:spacing w:after="0" w:line="240" w:lineRule="auto"/>
        <w:rPr>
          <w:rFonts w:cstheme="minorHAnsi"/>
        </w:rPr>
      </w:pPr>
      <w:r w:rsidRPr="00C1466C">
        <w:rPr>
          <w:rFonts w:cstheme="minorHAnsi"/>
        </w:rPr>
        <w:t xml:space="preserve">Arkansas Electric Energy Consumers, Inc. </w:t>
      </w:r>
    </w:p>
    <w:p w14:paraId="7A6D74F7" w14:textId="77777777" w:rsidR="00CF4852" w:rsidRPr="00C1466C" w:rsidRDefault="00CF4852" w:rsidP="00CF4852">
      <w:pPr>
        <w:spacing w:after="0" w:line="240" w:lineRule="auto"/>
        <w:rPr>
          <w:rFonts w:cstheme="minorHAnsi"/>
        </w:rPr>
      </w:pPr>
      <w:r w:rsidRPr="00C1466C">
        <w:rPr>
          <w:rFonts w:cstheme="minorHAnsi"/>
        </w:rPr>
        <w:t xml:space="preserve">Arkansas Forest and Paper Council </w:t>
      </w:r>
    </w:p>
    <w:p w14:paraId="542D2BAE" w14:textId="77777777" w:rsidR="00CF4852" w:rsidRPr="00C1466C" w:rsidRDefault="00CF4852" w:rsidP="00CF4852">
      <w:pPr>
        <w:spacing w:after="0" w:line="240" w:lineRule="auto"/>
        <w:rPr>
          <w:rFonts w:cstheme="minorHAnsi"/>
        </w:rPr>
      </w:pPr>
      <w:r w:rsidRPr="00C1466C">
        <w:rPr>
          <w:rFonts w:cstheme="minorHAnsi"/>
        </w:rPr>
        <w:t xml:space="preserve">Association of Businesses Advocating for Tariff Equity </w:t>
      </w:r>
    </w:p>
    <w:p w14:paraId="63F1871A" w14:textId="77777777" w:rsidR="00CF4852" w:rsidRPr="00C1466C" w:rsidRDefault="00CF4852" w:rsidP="00CF4852">
      <w:pPr>
        <w:spacing w:after="0" w:line="240" w:lineRule="auto"/>
        <w:rPr>
          <w:rFonts w:cstheme="minorHAnsi"/>
        </w:rPr>
      </w:pPr>
      <w:r w:rsidRPr="00C1466C">
        <w:rPr>
          <w:rFonts w:cstheme="minorHAnsi"/>
        </w:rPr>
        <w:t xml:space="preserve">CalPortland Company </w:t>
      </w:r>
    </w:p>
    <w:p w14:paraId="43D8E8EE" w14:textId="77777777" w:rsidR="00CF4852" w:rsidRPr="00C1466C" w:rsidRDefault="00CF4852" w:rsidP="00CF4852">
      <w:pPr>
        <w:spacing w:after="0" w:line="240" w:lineRule="auto"/>
        <w:rPr>
          <w:rFonts w:cstheme="minorHAnsi"/>
        </w:rPr>
      </w:pPr>
      <w:r w:rsidRPr="00C1466C">
        <w:rPr>
          <w:rFonts w:cstheme="minorHAnsi"/>
        </w:rPr>
        <w:t xml:space="preserve">Can Manufacturers Institute </w:t>
      </w:r>
    </w:p>
    <w:p w14:paraId="736CCF4B" w14:textId="77777777" w:rsidR="00CF4852" w:rsidRPr="00C1466C" w:rsidRDefault="00CF4852" w:rsidP="00CF4852">
      <w:pPr>
        <w:spacing w:after="0" w:line="240" w:lineRule="auto"/>
        <w:rPr>
          <w:rFonts w:cstheme="minorHAnsi"/>
        </w:rPr>
      </w:pPr>
      <w:r w:rsidRPr="00C1466C">
        <w:rPr>
          <w:rFonts w:cstheme="minorHAnsi"/>
        </w:rPr>
        <w:t xml:space="preserve">Carolina Industrial Group for Fair Utility Rates </w:t>
      </w:r>
    </w:p>
    <w:p w14:paraId="30597279" w14:textId="77777777" w:rsidR="00CF4852" w:rsidRPr="00C1466C" w:rsidRDefault="00CF4852" w:rsidP="00CF4852">
      <w:pPr>
        <w:spacing w:after="0" w:line="240" w:lineRule="auto"/>
        <w:rPr>
          <w:rFonts w:cstheme="minorHAnsi"/>
        </w:rPr>
      </w:pPr>
      <w:r w:rsidRPr="00C1466C">
        <w:rPr>
          <w:rFonts w:cstheme="minorHAnsi"/>
        </w:rPr>
        <w:t xml:space="preserve">Carolina Utility Customers Association, Inc. </w:t>
      </w:r>
    </w:p>
    <w:p w14:paraId="72895A1B" w14:textId="77777777" w:rsidR="00CF4852" w:rsidRPr="00C1466C" w:rsidRDefault="00CF4852" w:rsidP="00CF4852">
      <w:pPr>
        <w:spacing w:after="0" w:line="240" w:lineRule="auto"/>
        <w:rPr>
          <w:rFonts w:cstheme="minorHAnsi"/>
        </w:rPr>
      </w:pPr>
      <w:r w:rsidRPr="00C1466C">
        <w:rPr>
          <w:rFonts w:cstheme="minorHAnsi"/>
        </w:rPr>
        <w:t xml:space="preserve">Century Aluminum </w:t>
      </w:r>
    </w:p>
    <w:p w14:paraId="1A52A8F5" w14:textId="77777777" w:rsidR="00CF4852" w:rsidRPr="00C1466C" w:rsidRDefault="00CF4852" w:rsidP="00CF4852">
      <w:pPr>
        <w:spacing w:after="0" w:line="240" w:lineRule="auto"/>
        <w:rPr>
          <w:rFonts w:cstheme="minorHAnsi"/>
        </w:rPr>
      </w:pPr>
      <w:r w:rsidRPr="00C1466C">
        <w:rPr>
          <w:rFonts w:cstheme="minorHAnsi"/>
        </w:rPr>
        <w:t xml:space="preserve">Chemistry Council of New Jersey </w:t>
      </w:r>
    </w:p>
    <w:p w14:paraId="70288F40" w14:textId="77777777" w:rsidR="00CF4852" w:rsidRPr="00C1466C" w:rsidRDefault="00CF4852" w:rsidP="00CF4852">
      <w:pPr>
        <w:spacing w:after="0" w:line="240" w:lineRule="auto"/>
        <w:rPr>
          <w:rFonts w:cstheme="minorHAnsi"/>
        </w:rPr>
      </w:pPr>
      <w:r w:rsidRPr="00C1466C">
        <w:rPr>
          <w:rFonts w:cstheme="minorHAnsi"/>
        </w:rPr>
        <w:t xml:space="preserve">Chemical Industry Council of Illinois </w:t>
      </w:r>
    </w:p>
    <w:p w14:paraId="5F0C78B1" w14:textId="77777777" w:rsidR="00CF4852" w:rsidRPr="00C1466C" w:rsidRDefault="00CF4852" w:rsidP="00CF4852">
      <w:pPr>
        <w:spacing w:after="0" w:line="240" w:lineRule="auto"/>
        <w:rPr>
          <w:rFonts w:cstheme="minorHAnsi"/>
        </w:rPr>
      </w:pPr>
      <w:r w:rsidRPr="00C1466C">
        <w:rPr>
          <w:rFonts w:cstheme="minorHAnsi"/>
        </w:rPr>
        <w:t xml:space="preserve">Coalition of MISO Transmission Customers </w:t>
      </w:r>
    </w:p>
    <w:p w14:paraId="7C7F149C" w14:textId="77777777" w:rsidR="00CF4852" w:rsidRPr="00C1466C" w:rsidRDefault="00CF4852" w:rsidP="00CF4852">
      <w:pPr>
        <w:spacing w:after="0" w:line="240" w:lineRule="auto"/>
        <w:rPr>
          <w:rFonts w:cstheme="minorHAnsi"/>
        </w:rPr>
      </w:pPr>
      <w:r w:rsidRPr="00C1466C">
        <w:rPr>
          <w:rFonts w:cstheme="minorHAnsi"/>
        </w:rPr>
        <w:t xml:space="preserve">Coastal Energy Corporation </w:t>
      </w:r>
    </w:p>
    <w:p w14:paraId="32469D9B" w14:textId="77777777" w:rsidR="00CF4852" w:rsidRPr="00C1466C" w:rsidRDefault="00CF4852" w:rsidP="00CF4852">
      <w:pPr>
        <w:spacing w:after="0" w:line="240" w:lineRule="auto"/>
        <w:rPr>
          <w:rFonts w:cstheme="minorHAnsi"/>
        </w:rPr>
      </w:pPr>
      <w:r w:rsidRPr="00C1466C">
        <w:rPr>
          <w:rFonts w:cstheme="minorHAnsi"/>
        </w:rPr>
        <w:t xml:space="preserve">Commercial Metals Company </w:t>
      </w:r>
    </w:p>
    <w:p w14:paraId="5A1923BD" w14:textId="77777777" w:rsidR="00CF4852" w:rsidRPr="00C1466C" w:rsidRDefault="00CF4852" w:rsidP="00CF4852">
      <w:pPr>
        <w:spacing w:after="0" w:line="240" w:lineRule="auto"/>
        <w:rPr>
          <w:rFonts w:cstheme="minorHAnsi"/>
        </w:rPr>
      </w:pPr>
      <w:r w:rsidRPr="00C1466C">
        <w:rPr>
          <w:rFonts w:cstheme="minorHAnsi"/>
        </w:rPr>
        <w:t xml:space="preserve">Council of Industrial Boilers Organization </w:t>
      </w:r>
    </w:p>
    <w:p w14:paraId="117D0119" w14:textId="77777777" w:rsidR="00CF4852" w:rsidRPr="00C1466C" w:rsidRDefault="00CF4852" w:rsidP="00CF4852">
      <w:pPr>
        <w:spacing w:after="0" w:line="240" w:lineRule="auto"/>
        <w:rPr>
          <w:rFonts w:cstheme="minorHAnsi"/>
        </w:rPr>
      </w:pPr>
      <w:r w:rsidRPr="00C1466C">
        <w:rPr>
          <w:rFonts w:cstheme="minorHAnsi"/>
        </w:rPr>
        <w:t xml:space="preserve">Delaware Energy Users Group </w:t>
      </w:r>
    </w:p>
    <w:p w14:paraId="039FE418" w14:textId="77777777" w:rsidR="00CF4852" w:rsidRPr="00C1466C" w:rsidRDefault="00CF4852" w:rsidP="00CF4852">
      <w:pPr>
        <w:spacing w:after="0" w:line="240" w:lineRule="auto"/>
        <w:rPr>
          <w:rFonts w:cstheme="minorHAnsi"/>
        </w:rPr>
      </w:pPr>
      <w:r w:rsidRPr="00C1466C">
        <w:rPr>
          <w:rFonts w:cstheme="minorHAnsi"/>
        </w:rPr>
        <w:t xml:space="preserve">Digital Realty </w:t>
      </w:r>
    </w:p>
    <w:p w14:paraId="27FE0F30" w14:textId="77777777" w:rsidR="00CF4852" w:rsidRPr="00C1466C" w:rsidRDefault="00CF4852" w:rsidP="00CF4852">
      <w:pPr>
        <w:spacing w:after="0" w:line="240" w:lineRule="auto"/>
        <w:rPr>
          <w:rFonts w:cstheme="minorHAnsi"/>
        </w:rPr>
      </w:pPr>
      <w:r w:rsidRPr="00C1466C">
        <w:rPr>
          <w:rFonts w:cstheme="minorHAnsi"/>
        </w:rPr>
        <w:t xml:space="preserve">Domtar Corporation </w:t>
      </w:r>
    </w:p>
    <w:p w14:paraId="58996D31" w14:textId="77777777" w:rsidR="00CF4852" w:rsidRPr="00C1466C" w:rsidRDefault="00CF4852" w:rsidP="00CF4852">
      <w:pPr>
        <w:spacing w:after="0" w:line="240" w:lineRule="auto"/>
        <w:rPr>
          <w:rFonts w:cstheme="minorHAnsi"/>
        </w:rPr>
      </w:pPr>
      <w:proofErr w:type="spellStart"/>
      <w:r w:rsidRPr="00C1466C">
        <w:rPr>
          <w:rFonts w:cstheme="minorHAnsi"/>
        </w:rPr>
        <w:t>Eramet</w:t>
      </w:r>
      <w:proofErr w:type="spellEnd"/>
      <w:r w:rsidRPr="00C1466C">
        <w:rPr>
          <w:rFonts w:cstheme="minorHAnsi"/>
        </w:rPr>
        <w:t xml:space="preserve"> Marietta Inc. </w:t>
      </w:r>
    </w:p>
    <w:p w14:paraId="10FED8F4" w14:textId="77777777" w:rsidR="00CF4852" w:rsidRPr="00C1466C" w:rsidRDefault="00CF4852" w:rsidP="00CF4852">
      <w:pPr>
        <w:spacing w:after="0" w:line="240" w:lineRule="auto"/>
        <w:rPr>
          <w:rFonts w:cstheme="minorHAnsi"/>
        </w:rPr>
      </w:pPr>
      <w:r w:rsidRPr="00C1466C">
        <w:rPr>
          <w:rFonts w:cstheme="minorHAnsi"/>
        </w:rPr>
        <w:t xml:space="preserve">Formosa Plastics Corporation, U.S.A. </w:t>
      </w:r>
    </w:p>
    <w:p w14:paraId="1BD5CE8D" w14:textId="77777777" w:rsidR="00CF4852" w:rsidRPr="00C1466C" w:rsidRDefault="00CF4852" w:rsidP="00CF4852">
      <w:pPr>
        <w:spacing w:after="0" w:line="240" w:lineRule="auto"/>
        <w:rPr>
          <w:rFonts w:cstheme="minorHAnsi"/>
        </w:rPr>
      </w:pPr>
      <w:r w:rsidRPr="00C1466C">
        <w:rPr>
          <w:rFonts w:cstheme="minorHAnsi"/>
        </w:rPr>
        <w:t xml:space="preserve">Foundry Association of Michigan </w:t>
      </w:r>
    </w:p>
    <w:p w14:paraId="7461BCC1" w14:textId="77777777" w:rsidR="00CF4852" w:rsidRPr="00C1466C" w:rsidRDefault="00CF4852" w:rsidP="00CF4852">
      <w:pPr>
        <w:spacing w:after="0" w:line="240" w:lineRule="auto"/>
        <w:rPr>
          <w:rFonts w:cstheme="minorHAnsi"/>
        </w:rPr>
      </w:pPr>
      <w:r w:rsidRPr="00C1466C">
        <w:rPr>
          <w:rFonts w:cstheme="minorHAnsi"/>
        </w:rPr>
        <w:t xml:space="preserve">Gerdau </w:t>
      </w:r>
      <w:proofErr w:type="spellStart"/>
      <w:r w:rsidRPr="00C1466C">
        <w:rPr>
          <w:rFonts w:cstheme="minorHAnsi"/>
        </w:rPr>
        <w:t>Ameristeel</w:t>
      </w:r>
      <w:proofErr w:type="spellEnd"/>
      <w:r w:rsidRPr="00C1466C">
        <w:rPr>
          <w:rFonts w:cstheme="minorHAnsi"/>
        </w:rPr>
        <w:t xml:space="preserve"> Inc. </w:t>
      </w:r>
    </w:p>
    <w:p w14:paraId="64932788" w14:textId="77777777" w:rsidR="00CF4852" w:rsidRPr="00C1466C" w:rsidRDefault="00CF4852" w:rsidP="00CF4852">
      <w:pPr>
        <w:spacing w:after="0" w:line="240" w:lineRule="auto"/>
        <w:rPr>
          <w:rFonts w:cstheme="minorHAnsi"/>
        </w:rPr>
      </w:pPr>
      <w:r w:rsidRPr="00C1466C">
        <w:rPr>
          <w:rFonts w:cstheme="minorHAnsi"/>
        </w:rPr>
        <w:t xml:space="preserve">Glass Packaging Institute </w:t>
      </w:r>
    </w:p>
    <w:p w14:paraId="7C606A23" w14:textId="77777777" w:rsidR="00CF4852" w:rsidRPr="00C1466C" w:rsidRDefault="00CF4852" w:rsidP="00CF4852">
      <w:pPr>
        <w:spacing w:after="0" w:line="240" w:lineRule="auto"/>
        <w:rPr>
          <w:rFonts w:cstheme="minorHAnsi"/>
        </w:rPr>
      </w:pPr>
      <w:r w:rsidRPr="00C1466C">
        <w:rPr>
          <w:rFonts w:cstheme="minorHAnsi"/>
        </w:rPr>
        <w:t xml:space="preserve">Illinois Industrial Energy Consumers </w:t>
      </w:r>
    </w:p>
    <w:p w14:paraId="134FD9CE" w14:textId="70C2536C" w:rsidR="00CF4852" w:rsidRPr="00C1466C" w:rsidRDefault="00CF4852" w:rsidP="00CF4852">
      <w:pPr>
        <w:spacing w:after="0" w:line="240" w:lineRule="auto"/>
        <w:rPr>
          <w:rFonts w:cstheme="minorHAnsi"/>
        </w:rPr>
      </w:pPr>
      <w:r w:rsidRPr="00C1466C">
        <w:rPr>
          <w:rFonts w:cstheme="minorHAnsi"/>
        </w:rPr>
        <w:t xml:space="preserve">Indiana Industrial Energy Consumers </w:t>
      </w:r>
    </w:p>
    <w:p w14:paraId="79637D1D" w14:textId="77777777" w:rsidR="00CF4852" w:rsidRPr="00C1466C" w:rsidRDefault="00CF4852" w:rsidP="00CF4852">
      <w:pPr>
        <w:spacing w:after="0" w:line="240" w:lineRule="auto"/>
        <w:rPr>
          <w:rFonts w:cstheme="minorHAnsi"/>
        </w:rPr>
      </w:pPr>
      <w:r w:rsidRPr="00C1466C">
        <w:rPr>
          <w:rFonts w:cstheme="minorHAnsi"/>
        </w:rPr>
        <w:t xml:space="preserve">Industrial Energy Consumers of America </w:t>
      </w:r>
    </w:p>
    <w:p w14:paraId="78C3B419" w14:textId="77777777" w:rsidR="00CF4852" w:rsidRPr="00C1466C" w:rsidRDefault="00CF4852" w:rsidP="00CF4852">
      <w:pPr>
        <w:spacing w:after="0" w:line="240" w:lineRule="auto"/>
        <w:rPr>
          <w:rFonts w:cstheme="minorHAnsi"/>
        </w:rPr>
      </w:pPr>
      <w:r w:rsidRPr="00C1466C">
        <w:rPr>
          <w:rFonts w:cstheme="minorHAnsi"/>
        </w:rPr>
        <w:t xml:space="preserve">Industrial Energy Consumers of Pennsylvania </w:t>
      </w:r>
    </w:p>
    <w:p w14:paraId="06E118F3" w14:textId="77777777" w:rsidR="00CF4852" w:rsidRPr="00C1466C" w:rsidRDefault="00CF4852" w:rsidP="00CF4852">
      <w:pPr>
        <w:spacing w:after="0" w:line="240" w:lineRule="auto"/>
        <w:rPr>
          <w:rFonts w:cstheme="minorHAnsi"/>
        </w:rPr>
      </w:pPr>
      <w:r w:rsidRPr="00C1466C">
        <w:rPr>
          <w:rFonts w:cstheme="minorHAnsi"/>
        </w:rPr>
        <w:t xml:space="preserve">Industrial Energy Users-Ohio </w:t>
      </w:r>
    </w:p>
    <w:p w14:paraId="0486CB1E" w14:textId="77777777" w:rsidR="00CF4852" w:rsidRPr="00C1466C" w:rsidRDefault="00CF4852" w:rsidP="00CF4852">
      <w:pPr>
        <w:spacing w:after="0" w:line="240" w:lineRule="auto"/>
        <w:rPr>
          <w:rFonts w:cstheme="minorHAnsi"/>
        </w:rPr>
      </w:pPr>
      <w:r w:rsidRPr="00C1466C">
        <w:rPr>
          <w:rFonts w:cstheme="minorHAnsi"/>
        </w:rPr>
        <w:t xml:space="preserve">Industrial Minerals Association-North America </w:t>
      </w:r>
    </w:p>
    <w:p w14:paraId="422AF126" w14:textId="77777777" w:rsidR="00CF4852" w:rsidRPr="00C1466C" w:rsidRDefault="00CF4852" w:rsidP="00CF4852">
      <w:pPr>
        <w:spacing w:after="0" w:line="240" w:lineRule="auto"/>
        <w:rPr>
          <w:rFonts w:cstheme="minorHAnsi"/>
        </w:rPr>
      </w:pPr>
      <w:r w:rsidRPr="00C1466C">
        <w:rPr>
          <w:rFonts w:cstheme="minorHAnsi"/>
        </w:rPr>
        <w:t xml:space="preserve">Iowa Business Energy Coalition </w:t>
      </w:r>
    </w:p>
    <w:p w14:paraId="047221F0" w14:textId="77777777" w:rsidR="00CF4852" w:rsidRPr="00C1466C" w:rsidRDefault="00CF4852" w:rsidP="00CF4852">
      <w:pPr>
        <w:spacing w:after="0" w:line="240" w:lineRule="auto"/>
        <w:rPr>
          <w:rFonts w:cstheme="minorHAnsi"/>
        </w:rPr>
      </w:pPr>
      <w:r w:rsidRPr="00C1466C">
        <w:rPr>
          <w:rFonts w:cstheme="minorHAnsi"/>
        </w:rPr>
        <w:t xml:space="preserve">Iowa Industrial Energy Group, Inc. </w:t>
      </w:r>
    </w:p>
    <w:p w14:paraId="298CB394" w14:textId="77777777" w:rsidR="00CF4852" w:rsidRPr="00C1466C" w:rsidRDefault="00CF4852" w:rsidP="00CF4852">
      <w:pPr>
        <w:spacing w:after="0" w:line="240" w:lineRule="auto"/>
        <w:rPr>
          <w:rFonts w:cstheme="minorHAnsi"/>
        </w:rPr>
      </w:pPr>
      <w:r w:rsidRPr="00C1466C">
        <w:rPr>
          <w:rFonts w:cstheme="minorHAnsi"/>
        </w:rPr>
        <w:t xml:space="preserve">Iron Mining Association of Minnesota </w:t>
      </w:r>
    </w:p>
    <w:p w14:paraId="576E4D0D" w14:textId="21F2FE39" w:rsidR="001C6724" w:rsidRDefault="001C6724" w:rsidP="00CF4852">
      <w:pPr>
        <w:spacing w:after="0" w:line="240" w:lineRule="auto"/>
        <w:rPr>
          <w:rFonts w:cstheme="minorHAnsi"/>
        </w:rPr>
      </w:pPr>
      <w:r>
        <w:rPr>
          <w:rFonts w:cstheme="minorHAnsi"/>
        </w:rPr>
        <w:t>Kimberly-Clark Corporation</w:t>
      </w:r>
    </w:p>
    <w:p w14:paraId="15D201DF" w14:textId="6087DE76" w:rsidR="00CF4852" w:rsidRPr="00C1466C" w:rsidRDefault="00CF4852" w:rsidP="00CF4852">
      <w:pPr>
        <w:spacing w:after="0" w:line="240" w:lineRule="auto"/>
        <w:rPr>
          <w:rFonts w:cstheme="minorHAnsi"/>
        </w:rPr>
      </w:pPr>
      <w:r w:rsidRPr="00C1466C">
        <w:rPr>
          <w:rFonts w:cstheme="minorHAnsi"/>
        </w:rPr>
        <w:t xml:space="preserve">Large Energy Users Coalition (NJ) </w:t>
      </w:r>
    </w:p>
    <w:p w14:paraId="349E77F8" w14:textId="77777777" w:rsidR="00CF4852" w:rsidRPr="00C1466C" w:rsidRDefault="00CF4852" w:rsidP="00CF4852">
      <w:pPr>
        <w:spacing w:after="0" w:line="240" w:lineRule="auto"/>
        <w:rPr>
          <w:rFonts w:cstheme="minorHAnsi"/>
        </w:rPr>
      </w:pPr>
      <w:r w:rsidRPr="00C1466C">
        <w:rPr>
          <w:rFonts w:cstheme="minorHAnsi"/>
        </w:rPr>
        <w:t>Lehigh Hanson, Inc.</w:t>
      </w:r>
    </w:p>
    <w:p w14:paraId="3E6D2229" w14:textId="77777777" w:rsidR="00CF4852" w:rsidRPr="00C1466C" w:rsidRDefault="00CF4852" w:rsidP="00CF4852">
      <w:pPr>
        <w:spacing w:after="0" w:line="240" w:lineRule="auto"/>
        <w:rPr>
          <w:rFonts w:cstheme="minorHAnsi"/>
        </w:rPr>
      </w:pPr>
      <w:r w:rsidRPr="00C1466C">
        <w:rPr>
          <w:rFonts w:cstheme="minorHAnsi"/>
        </w:rPr>
        <w:t xml:space="preserve">LS Power Development, LLC </w:t>
      </w:r>
    </w:p>
    <w:p w14:paraId="4A1D37C1" w14:textId="77777777" w:rsidR="009B1339" w:rsidRPr="00C1466C" w:rsidRDefault="00CF4852" w:rsidP="00CF4852">
      <w:pPr>
        <w:spacing w:after="0" w:line="240" w:lineRule="auto"/>
        <w:rPr>
          <w:rFonts w:cstheme="minorHAnsi"/>
        </w:rPr>
      </w:pPr>
      <w:r w:rsidRPr="00C1466C">
        <w:rPr>
          <w:rFonts w:cstheme="minorHAnsi"/>
        </w:rPr>
        <w:t xml:space="preserve">Maine Industrial Energy Consumer Group </w:t>
      </w:r>
    </w:p>
    <w:p w14:paraId="7BC45A27" w14:textId="1CA03BA7" w:rsidR="00CF4852" w:rsidRPr="00C1466C" w:rsidRDefault="00CF4852" w:rsidP="00CF4852">
      <w:pPr>
        <w:spacing w:after="0" w:line="240" w:lineRule="auto"/>
        <w:rPr>
          <w:rFonts w:cstheme="minorHAnsi"/>
        </w:rPr>
      </w:pPr>
      <w:r w:rsidRPr="00C1466C">
        <w:rPr>
          <w:rFonts w:cstheme="minorHAnsi"/>
        </w:rPr>
        <w:t xml:space="preserve">Marathon Petroleum Company </w:t>
      </w:r>
    </w:p>
    <w:p w14:paraId="36C39383" w14:textId="77777777" w:rsidR="00CF4852" w:rsidRPr="00C1466C" w:rsidRDefault="00CF4852" w:rsidP="00CF4852">
      <w:pPr>
        <w:spacing w:after="0" w:line="240" w:lineRule="auto"/>
        <w:rPr>
          <w:rFonts w:cstheme="minorHAnsi"/>
        </w:rPr>
      </w:pPr>
      <w:r w:rsidRPr="00C1466C">
        <w:rPr>
          <w:rFonts w:cstheme="minorHAnsi"/>
        </w:rPr>
        <w:t xml:space="preserve">Messer Americas </w:t>
      </w:r>
    </w:p>
    <w:p w14:paraId="07FEE07C" w14:textId="77777777" w:rsidR="00CF4852" w:rsidRPr="00C1466C" w:rsidRDefault="00CF4852" w:rsidP="00CF4852">
      <w:pPr>
        <w:spacing w:after="0" w:line="240" w:lineRule="auto"/>
        <w:rPr>
          <w:rFonts w:cstheme="minorHAnsi"/>
        </w:rPr>
      </w:pPr>
      <w:proofErr w:type="spellStart"/>
      <w:r w:rsidRPr="00C1466C">
        <w:rPr>
          <w:rFonts w:cstheme="minorHAnsi"/>
        </w:rPr>
        <w:lastRenderedPageBreak/>
        <w:t>Metalcasters</w:t>
      </w:r>
      <w:proofErr w:type="spellEnd"/>
      <w:r w:rsidRPr="00C1466C">
        <w:rPr>
          <w:rFonts w:cstheme="minorHAnsi"/>
        </w:rPr>
        <w:t xml:space="preserve"> of Minnesota </w:t>
      </w:r>
    </w:p>
    <w:p w14:paraId="57F6AAFE" w14:textId="77777777" w:rsidR="00CF4852" w:rsidRPr="00C1466C" w:rsidRDefault="00CF4852" w:rsidP="00CF4852">
      <w:pPr>
        <w:spacing w:after="0" w:line="240" w:lineRule="auto"/>
        <w:rPr>
          <w:rFonts w:cstheme="minorHAnsi"/>
        </w:rPr>
      </w:pPr>
      <w:r w:rsidRPr="00C1466C">
        <w:rPr>
          <w:rFonts w:cstheme="minorHAnsi"/>
        </w:rPr>
        <w:t xml:space="preserve">Michigan Chemistry Council </w:t>
      </w:r>
    </w:p>
    <w:p w14:paraId="7957D49A" w14:textId="77777777" w:rsidR="009B1339" w:rsidRPr="00C1466C" w:rsidRDefault="00CF4852" w:rsidP="00CF4852">
      <w:pPr>
        <w:spacing w:after="0" w:line="240" w:lineRule="auto"/>
        <w:rPr>
          <w:rFonts w:cstheme="minorHAnsi"/>
        </w:rPr>
      </w:pPr>
      <w:r w:rsidRPr="00C1466C">
        <w:rPr>
          <w:rFonts w:cstheme="minorHAnsi"/>
        </w:rPr>
        <w:t xml:space="preserve">Midwest Food Products Association </w:t>
      </w:r>
    </w:p>
    <w:p w14:paraId="1954D5F0" w14:textId="77777777" w:rsidR="009B1339" w:rsidRPr="00C1466C" w:rsidRDefault="00CF4852" w:rsidP="00CF4852">
      <w:pPr>
        <w:spacing w:after="0" w:line="240" w:lineRule="auto"/>
        <w:rPr>
          <w:rFonts w:cstheme="minorHAnsi"/>
        </w:rPr>
      </w:pPr>
      <w:r w:rsidRPr="00C1466C">
        <w:rPr>
          <w:rFonts w:cstheme="minorHAnsi"/>
        </w:rPr>
        <w:t xml:space="preserve">Minnesota Large Industrial Group </w:t>
      </w:r>
    </w:p>
    <w:p w14:paraId="2D0ACA16" w14:textId="398408DD" w:rsidR="00CF4852" w:rsidRPr="00C1466C" w:rsidRDefault="00CF4852" w:rsidP="00CF4852">
      <w:pPr>
        <w:spacing w:after="0" w:line="240" w:lineRule="auto"/>
        <w:rPr>
          <w:rFonts w:cstheme="minorHAnsi"/>
        </w:rPr>
      </w:pPr>
      <w:r w:rsidRPr="00C1466C">
        <w:rPr>
          <w:rFonts w:cstheme="minorHAnsi"/>
        </w:rPr>
        <w:t xml:space="preserve">Multiple Intervenors, NY </w:t>
      </w:r>
    </w:p>
    <w:p w14:paraId="2567E4DF" w14:textId="77777777" w:rsidR="009B1339" w:rsidRPr="00C1466C" w:rsidRDefault="00CF4852" w:rsidP="00CF4852">
      <w:pPr>
        <w:spacing w:after="0" w:line="240" w:lineRule="auto"/>
        <w:rPr>
          <w:rFonts w:cstheme="minorHAnsi"/>
        </w:rPr>
      </w:pPr>
      <w:r w:rsidRPr="00C1466C">
        <w:rPr>
          <w:rFonts w:cstheme="minorHAnsi"/>
        </w:rPr>
        <w:t xml:space="preserve">National Council of Textile Organizations </w:t>
      </w:r>
    </w:p>
    <w:p w14:paraId="11F7727B" w14:textId="66A00EE2" w:rsidR="00CF4852" w:rsidRPr="00C1466C" w:rsidRDefault="00CF4852" w:rsidP="00CF4852">
      <w:pPr>
        <w:spacing w:after="0" w:line="240" w:lineRule="auto"/>
        <w:rPr>
          <w:rFonts w:cstheme="minorHAnsi"/>
        </w:rPr>
      </w:pPr>
      <w:r w:rsidRPr="00C1466C">
        <w:rPr>
          <w:rFonts w:cstheme="minorHAnsi"/>
        </w:rPr>
        <w:t xml:space="preserve">National Retail Federation </w:t>
      </w:r>
    </w:p>
    <w:p w14:paraId="5CEF8CE8" w14:textId="77777777" w:rsidR="00CF4852" w:rsidRPr="00C1466C" w:rsidRDefault="00CF4852" w:rsidP="00CF4852">
      <w:pPr>
        <w:spacing w:after="0" w:line="240" w:lineRule="auto"/>
        <w:rPr>
          <w:rFonts w:cstheme="minorHAnsi"/>
        </w:rPr>
      </w:pPr>
      <w:r w:rsidRPr="00C1466C">
        <w:rPr>
          <w:rFonts w:cstheme="minorHAnsi"/>
        </w:rPr>
        <w:t xml:space="preserve">NextEra Energy, Inc. </w:t>
      </w:r>
    </w:p>
    <w:p w14:paraId="0359BEA5" w14:textId="77777777" w:rsidR="009B1339" w:rsidRPr="00C1466C" w:rsidRDefault="00CF4852" w:rsidP="00CF4852">
      <w:pPr>
        <w:spacing w:after="0" w:line="240" w:lineRule="auto"/>
        <w:rPr>
          <w:rFonts w:cstheme="minorHAnsi"/>
        </w:rPr>
      </w:pPr>
      <w:r w:rsidRPr="00C1466C">
        <w:rPr>
          <w:rFonts w:cstheme="minorHAnsi"/>
        </w:rPr>
        <w:t xml:space="preserve">North Carolina Manufacturers Alliance </w:t>
      </w:r>
    </w:p>
    <w:p w14:paraId="6CFD9145" w14:textId="1DC400A7" w:rsidR="00CF4852" w:rsidRPr="00C1466C" w:rsidRDefault="00CF4852" w:rsidP="00CF4852">
      <w:pPr>
        <w:spacing w:after="0" w:line="240" w:lineRule="auto"/>
        <w:rPr>
          <w:rFonts w:cstheme="minorHAnsi"/>
        </w:rPr>
      </w:pPr>
      <w:proofErr w:type="spellStart"/>
      <w:r w:rsidRPr="00C1466C">
        <w:rPr>
          <w:rFonts w:cstheme="minorHAnsi"/>
        </w:rPr>
        <w:t>NovoHydrogen</w:t>
      </w:r>
      <w:proofErr w:type="spellEnd"/>
      <w:r w:rsidRPr="00C1466C">
        <w:rPr>
          <w:rFonts w:cstheme="minorHAnsi"/>
        </w:rPr>
        <w:t xml:space="preserve"> </w:t>
      </w:r>
    </w:p>
    <w:p w14:paraId="56BB00F9" w14:textId="77777777" w:rsidR="00CF4852" w:rsidRPr="00C1466C" w:rsidRDefault="00CF4852" w:rsidP="00CF4852">
      <w:pPr>
        <w:spacing w:after="0" w:line="240" w:lineRule="auto"/>
        <w:rPr>
          <w:rFonts w:cstheme="minorHAnsi"/>
        </w:rPr>
      </w:pPr>
      <w:r w:rsidRPr="00C1466C">
        <w:rPr>
          <w:rFonts w:cstheme="minorHAnsi"/>
        </w:rPr>
        <w:t xml:space="preserve">Office of the People’s Counsel for the District of Columbia </w:t>
      </w:r>
    </w:p>
    <w:p w14:paraId="5F212280" w14:textId="77777777" w:rsidR="00CF4852" w:rsidRPr="00C1466C" w:rsidRDefault="00CF4852" w:rsidP="00CF4852">
      <w:pPr>
        <w:spacing w:after="0" w:line="240" w:lineRule="auto"/>
        <w:rPr>
          <w:rFonts w:cstheme="minorHAnsi"/>
        </w:rPr>
      </w:pPr>
      <w:r w:rsidRPr="00C1466C">
        <w:rPr>
          <w:rFonts w:cstheme="minorHAnsi"/>
        </w:rPr>
        <w:t xml:space="preserve">Ohio Cast Metals Association </w:t>
      </w:r>
    </w:p>
    <w:p w14:paraId="28D0D65E" w14:textId="77777777" w:rsidR="009B1339" w:rsidRPr="00C1466C" w:rsidRDefault="00CF4852" w:rsidP="00CF4852">
      <w:pPr>
        <w:spacing w:after="0" w:line="240" w:lineRule="auto"/>
        <w:rPr>
          <w:rFonts w:cstheme="minorHAnsi"/>
        </w:rPr>
      </w:pPr>
      <w:r w:rsidRPr="00C1466C">
        <w:rPr>
          <w:rFonts w:cstheme="minorHAnsi"/>
        </w:rPr>
        <w:t xml:space="preserve">Ohio Chemistry Technology Council </w:t>
      </w:r>
    </w:p>
    <w:p w14:paraId="153584BC" w14:textId="24F3675B" w:rsidR="00CF4852" w:rsidRPr="00C1466C" w:rsidRDefault="00CF4852" w:rsidP="00CF4852">
      <w:pPr>
        <w:spacing w:after="0" w:line="240" w:lineRule="auto"/>
        <w:rPr>
          <w:rFonts w:cstheme="minorHAnsi"/>
        </w:rPr>
      </w:pPr>
      <w:r w:rsidRPr="00C1466C">
        <w:rPr>
          <w:rFonts w:cstheme="minorHAnsi"/>
        </w:rPr>
        <w:t xml:space="preserve">Ohio Energy Group </w:t>
      </w:r>
    </w:p>
    <w:p w14:paraId="534CA40B" w14:textId="77777777" w:rsidR="009B1339" w:rsidRPr="00C1466C" w:rsidRDefault="00CF4852" w:rsidP="00CF4852">
      <w:pPr>
        <w:spacing w:after="0" w:line="240" w:lineRule="auto"/>
        <w:rPr>
          <w:rFonts w:cstheme="minorHAnsi"/>
        </w:rPr>
      </w:pPr>
      <w:r w:rsidRPr="00C1466C">
        <w:rPr>
          <w:rFonts w:cstheme="minorHAnsi"/>
        </w:rPr>
        <w:t xml:space="preserve">Ohio Manufacturers’ Association </w:t>
      </w:r>
    </w:p>
    <w:p w14:paraId="70ED2EFF" w14:textId="77777777" w:rsidR="009B1339" w:rsidRPr="00C1466C" w:rsidRDefault="00CF4852" w:rsidP="00CF4852">
      <w:pPr>
        <w:spacing w:after="0" w:line="240" w:lineRule="auto"/>
        <w:rPr>
          <w:rFonts w:cstheme="minorHAnsi"/>
        </w:rPr>
      </w:pPr>
      <w:r w:rsidRPr="00C1466C">
        <w:rPr>
          <w:rFonts w:cstheme="minorHAnsi"/>
        </w:rPr>
        <w:t xml:space="preserve">Oklahoma Industrial Energy Consumers </w:t>
      </w:r>
    </w:p>
    <w:p w14:paraId="4131D9EB" w14:textId="3E3E23B8" w:rsidR="00CF4852" w:rsidRPr="00C1466C" w:rsidRDefault="00CF4852" w:rsidP="00CF4852">
      <w:pPr>
        <w:spacing w:after="0" w:line="240" w:lineRule="auto"/>
        <w:rPr>
          <w:rFonts w:cstheme="minorHAnsi"/>
        </w:rPr>
      </w:pPr>
      <w:r w:rsidRPr="00C1466C">
        <w:rPr>
          <w:rFonts w:cstheme="minorHAnsi"/>
        </w:rPr>
        <w:t xml:space="preserve">Olin Corporation </w:t>
      </w:r>
    </w:p>
    <w:p w14:paraId="3081DA00" w14:textId="77777777" w:rsidR="00CF4852" w:rsidRPr="00C1466C" w:rsidRDefault="00CF4852" w:rsidP="00CF4852">
      <w:pPr>
        <w:spacing w:after="0" w:line="240" w:lineRule="auto"/>
        <w:rPr>
          <w:rFonts w:cstheme="minorHAnsi"/>
        </w:rPr>
      </w:pPr>
      <w:r w:rsidRPr="00C1466C">
        <w:rPr>
          <w:rFonts w:cstheme="minorHAnsi"/>
        </w:rPr>
        <w:t xml:space="preserve">Owens-Illinois </w:t>
      </w:r>
    </w:p>
    <w:p w14:paraId="7B891A83" w14:textId="77777777" w:rsidR="004623F9" w:rsidRPr="00C1466C" w:rsidRDefault="00CF4852" w:rsidP="00CF4852">
      <w:pPr>
        <w:spacing w:after="0" w:line="240" w:lineRule="auto"/>
        <w:rPr>
          <w:rFonts w:cstheme="minorHAnsi"/>
        </w:rPr>
      </w:pPr>
      <w:r w:rsidRPr="00C1466C">
        <w:rPr>
          <w:rFonts w:cstheme="minorHAnsi"/>
        </w:rPr>
        <w:t xml:space="preserve">Pennsylvania Energy Consumer Alliance </w:t>
      </w:r>
    </w:p>
    <w:p w14:paraId="297739D8" w14:textId="77777777" w:rsidR="009B1339" w:rsidRPr="00C1466C" w:rsidRDefault="00CF4852" w:rsidP="00CF4852">
      <w:pPr>
        <w:spacing w:after="0" w:line="240" w:lineRule="auto"/>
        <w:rPr>
          <w:rFonts w:cstheme="minorHAnsi"/>
        </w:rPr>
      </w:pPr>
      <w:r w:rsidRPr="00C1466C">
        <w:rPr>
          <w:rFonts w:cstheme="minorHAnsi"/>
        </w:rPr>
        <w:t xml:space="preserve">PJM Industrial Customer Coalition </w:t>
      </w:r>
    </w:p>
    <w:p w14:paraId="0094EC60" w14:textId="5630CEB8" w:rsidR="00CF4852" w:rsidRPr="00C1466C" w:rsidRDefault="00CF4852" w:rsidP="00CF4852">
      <w:pPr>
        <w:spacing w:after="0" w:line="240" w:lineRule="auto"/>
        <w:rPr>
          <w:rFonts w:cstheme="minorHAnsi"/>
        </w:rPr>
      </w:pPr>
      <w:r w:rsidRPr="00C1466C">
        <w:rPr>
          <w:rFonts w:cstheme="minorHAnsi"/>
        </w:rPr>
        <w:t xml:space="preserve">Portland Cement Association </w:t>
      </w:r>
    </w:p>
    <w:p w14:paraId="6C3CBF18" w14:textId="77777777" w:rsidR="00CF4852" w:rsidRPr="00C1466C" w:rsidRDefault="00CF4852" w:rsidP="00CF4852">
      <w:pPr>
        <w:spacing w:after="0" w:line="240" w:lineRule="auto"/>
        <w:rPr>
          <w:rFonts w:cstheme="minorHAnsi"/>
        </w:rPr>
      </w:pPr>
      <w:r w:rsidRPr="00C1466C">
        <w:rPr>
          <w:rFonts w:cstheme="minorHAnsi"/>
        </w:rPr>
        <w:t xml:space="preserve">Public Citizen, Inc. </w:t>
      </w:r>
    </w:p>
    <w:p w14:paraId="717BD99A" w14:textId="77777777" w:rsidR="00CF4852" w:rsidRPr="00C1466C" w:rsidRDefault="00CF4852" w:rsidP="00CF4852">
      <w:pPr>
        <w:spacing w:after="0" w:line="240" w:lineRule="auto"/>
        <w:rPr>
          <w:rFonts w:cstheme="minorHAnsi"/>
        </w:rPr>
      </w:pPr>
      <w:r w:rsidRPr="00C1466C">
        <w:rPr>
          <w:rFonts w:cstheme="minorHAnsi"/>
        </w:rPr>
        <w:t xml:space="preserve">R Street </w:t>
      </w:r>
    </w:p>
    <w:p w14:paraId="3757E541" w14:textId="77777777" w:rsidR="00CF4852" w:rsidRPr="00C1466C" w:rsidRDefault="00CF4852" w:rsidP="00CF4852">
      <w:pPr>
        <w:spacing w:after="0" w:line="240" w:lineRule="auto"/>
        <w:rPr>
          <w:rFonts w:cstheme="minorHAnsi"/>
        </w:rPr>
      </w:pPr>
      <w:r w:rsidRPr="00C1466C">
        <w:rPr>
          <w:rFonts w:cstheme="minorHAnsi"/>
        </w:rPr>
        <w:t xml:space="preserve">Resale Power Group of Iowa </w:t>
      </w:r>
    </w:p>
    <w:p w14:paraId="620B93C2" w14:textId="77777777" w:rsidR="00B321DB" w:rsidRPr="00C1466C" w:rsidRDefault="00CF4852" w:rsidP="00CF4852">
      <w:pPr>
        <w:spacing w:after="0" w:line="240" w:lineRule="auto"/>
        <w:rPr>
          <w:rFonts w:cstheme="minorHAnsi"/>
        </w:rPr>
      </w:pPr>
      <w:r w:rsidRPr="00C1466C">
        <w:rPr>
          <w:rFonts w:cstheme="minorHAnsi"/>
        </w:rPr>
        <w:t xml:space="preserve">Retail Industry Leaders Association </w:t>
      </w:r>
    </w:p>
    <w:p w14:paraId="4202AF47" w14:textId="7BAAC9C5" w:rsidR="00CF4852" w:rsidRPr="00C1466C" w:rsidRDefault="00CF4852" w:rsidP="00CF4852">
      <w:pPr>
        <w:spacing w:after="0" w:line="240" w:lineRule="auto"/>
        <w:rPr>
          <w:rFonts w:cstheme="minorHAnsi"/>
        </w:rPr>
      </w:pPr>
      <w:r w:rsidRPr="00C1466C">
        <w:rPr>
          <w:rFonts w:cstheme="minorHAnsi"/>
        </w:rPr>
        <w:t xml:space="preserve">Riceland Foods, Inc. </w:t>
      </w:r>
    </w:p>
    <w:p w14:paraId="7C0B0743" w14:textId="77777777" w:rsidR="00CF4852" w:rsidRPr="00C1466C" w:rsidRDefault="00CF4852" w:rsidP="00CF4852">
      <w:pPr>
        <w:spacing w:after="0" w:line="240" w:lineRule="auto"/>
        <w:rPr>
          <w:rFonts w:cstheme="minorHAnsi"/>
        </w:rPr>
      </w:pPr>
      <w:r w:rsidRPr="00C1466C">
        <w:rPr>
          <w:rFonts w:cstheme="minorHAnsi"/>
        </w:rPr>
        <w:t xml:space="preserve">Rio Tinto </w:t>
      </w:r>
    </w:p>
    <w:p w14:paraId="4E2298B0" w14:textId="77777777" w:rsidR="00CF4852" w:rsidRPr="00C1466C" w:rsidRDefault="00CF4852" w:rsidP="00CF4852">
      <w:pPr>
        <w:spacing w:after="0" w:line="240" w:lineRule="auto"/>
        <w:rPr>
          <w:rFonts w:cstheme="minorHAnsi"/>
        </w:rPr>
      </w:pPr>
      <w:proofErr w:type="spellStart"/>
      <w:r w:rsidRPr="00C1466C">
        <w:rPr>
          <w:rFonts w:cstheme="minorHAnsi"/>
        </w:rPr>
        <w:t>Skana</w:t>
      </w:r>
      <w:proofErr w:type="spellEnd"/>
      <w:r w:rsidRPr="00C1466C">
        <w:rPr>
          <w:rFonts w:cstheme="minorHAnsi"/>
        </w:rPr>
        <w:t xml:space="preserve"> Aluminum Company </w:t>
      </w:r>
    </w:p>
    <w:p w14:paraId="204881D0" w14:textId="77777777" w:rsidR="00CF4852" w:rsidRPr="00C1466C" w:rsidRDefault="00CF4852" w:rsidP="00CF4852">
      <w:pPr>
        <w:spacing w:after="0" w:line="240" w:lineRule="auto"/>
        <w:rPr>
          <w:rFonts w:cstheme="minorHAnsi"/>
        </w:rPr>
      </w:pPr>
      <w:r w:rsidRPr="00C1466C">
        <w:rPr>
          <w:rFonts w:cstheme="minorHAnsi"/>
        </w:rPr>
        <w:t xml:space="preserve">Steel Manufacturers Association </w:t>
      </w:r>
    </w:p>
    <w:p w14:paraId="22928253" w14:textId="77777777" w:rsidR="004623F9" w:rsidRPr="00C1466C" w:rsidRDefault="00CF4852" w:rsidP="00CF4852">
      <w:pPr>
        <w:spacing w:after="0" w:line="240" w:lineRule="auto"/>
        <w:rPr>
          <w:rFonts w:cstheme="minorHAnsi"/>
        </w:rPr>
      </w:pPr>
      <w:r w:rsidRPr="00C1466C">
        <w:rPr>
          <w:rFonts w:cstheme="minorHAnsi"/>
        </w:rPr>
        <w:t xml:space="preserve">Texas Cast Metals Association </w:t>
      </w:r>
    </w:p>
    <w:p w14:paraId="18A8D54B" w14:textId="3324B723" w:rsidR="00CF4852" w:rsidRPr="00C1466C" w:rsidRDefault="00CF4852" w:rsidP="00CF4852">
      <w:pPr>
        <w:spacing w:after="0" w:line="240" w:lineRule="auto"/>
        <w:rPr>
          <w:rFonts w:cstheme="minorHAnsi"/>
        </w:rPr>
      </w:pPr>
      <w:proofErr w:type="spellStart"/>
      <w:r w:rsidRPr="00C1466C">
        <w:rPr>
          <w:rFonts w:cstheme="minorHAnsi"/>
        </w:rPr>
        <w:t>TimkenSteel</w:t>
      </w:r>
      <w:proofErr w:type="spellEnd"/>
      <w:r w:rsidRPr="00C1466C">
        <w:rPr>
          <w:rFonts w:cstheme="minorHAnsi"/>
        </w:rPr>
        <w:t xml:space="preserve"> Corporation </w:t>
      </w:r>
    </w:p>
    <w:p w14:paraId="200B51B9" w14:textId="77777777" w:rsidR="00CF4852" w:rsidRPr="00C1466C" w:rsidRDefault="00CF4852" w:rsidP="00CF4852">
      <w:pPr>
        <w:spacing w:after="0" w:line="240" w:lineRule="auto"/>
        <w:rPr>
          <w:rFonts w:cstheme="minorHAnsi"/>
        </w:rPr>
      </w:pPr>
      <w:proofErr w:type="spellStart"/>
      <w:r w:rsidRPr="00C1466C">
        <w:rPr>
          <w:rFonts w:cstheme="minorHAnsi"/>
        </w:rPr>
        <w:t>Vallourec</w:t>
      </w:r>
      <w:proofErr w:type="spellEnd"/>
      <w:r w:rsidRPr="00C1466C">
        <w:rPr>
          <w:rFonts w:cstheme="minorHAnsi"/>
        </w:rPr>
        <w:t xml:space="preserve"> STAR LP </w:t>
      </w:r>
    </w:p>
    <w:p w14:paraId="6D4AF7E0" w14:textId="77777777" w:rsidR="00CF4852" w:rsidRPr="00C1466C" w:rsidRDefault="00CF4852" w:rsidP="00CF4852">
      <w:pPr>
        <w:spacing w:after="0" w:line="240" w:lineRule="auto"/>
        <w:rPr>
          <w:rFonts w:cstheme="minorHAnsi"/>
        </w:rPr>
      </w:pPr>
      <w:r w:rsidRPr="00C1466C">
        <w:rPr>
          <w:rFonts w:cstheme="minorHAnsi"/>
        </w:rPr>
        <w:t xml:space="preserve">Vinyl Institute </w:t>
      </w:r>
    </w:p>
    <w:p w14:paraId="0057C52D" w14:textId="77777777" w:rsidR="004623F9" w:rsidRPr="00C1466C" w:rsidRDefault="00CF4852" w:rsidP="00CF4852">
      <w:pPr>
        <w:spacing w:after="0" w:line="240" w:lineRule="auto"/>
        <w:rPr>
          <w:rFonts w:cstheme="minorHAnsi"/>
        </w:rPr>
      </w:pPr>
      <w:r w:rsidRPr="00C1466C">
        <w:rPr>
          <w:rFonts w:cstheme="minorHAnsi"/>
        </w:rPr>
        <w:t xml:space="preserve">Virginia Manufacturers Association </w:t>
      </w:r>
    </w:p>
    <w:p w14:paraId="70144C20" w14:textId="2E514F31" w:rsidR="00CF4852" w:rsidRPr="00C1466C" w:rsidRDefault="00CF4852" w:rsidP="00CF4852">
      <w:pPr>
        <w:spacing w:after="0" w:line="240" w:lineRule="auto"/>
        <w:rPr>
          <w:rFonts w:cstheme="minorHAnsi"/>
        </w:rPr>
      </w:pPr>
      <w:r w:rsidRPr="00C1466C">
        <w:rPr>
          <w:rFonts w:cstheme="minorHAnsi"/>
        </w:rPr>
        <w:t xml:space="preserve">West Virginia Energy Users Group </w:t>
      </w:r>
    </w:p>
    <w:p w14:paraId="5D7A6B90" w14:textId="77777777" w:rsidR="004623F9" w:rsidRPr="00C1466C" w:rsidRDefault="00CF4852" w:rsidP="00CF4852">
      <w:pPr>
        <w:spacing w:after="0" w:line="240" w:lineRule="auto"/>
        <w:rPr>
          <w:rFonts w:cstheme="minorHAnsi"/>
        </w:rPr>
      </w:pPr>
      <w:r w:rsidRPr="00C1466C">
        <w:rPr>
          <w:rFonts w:cstheme="minorHAnsi"/>
        </w:rPr>
        <w:t xml:space="preserve">West Virginia Manufacturers Association </w:t>
      </w:r>
    </w:p>
    <w:p w14:paraId="2DDA84C8" w14:textId="77777777" w:rsidR="004623F9" w:rsidRPr="00C1466C" w:rsidRDefault="00CF4852" w:rsidP="00CF4852">
      <w:pPr>
        <w:spacing w:after="0" w:line="240" w:lineRule="auto"/>
        <w:rPr>
          <w:rFonts w:cstheme="minorHAnsi"/>
        </w:rPr>
      </w:pPr>
      <w:r w:rsidRPr="00C1466C">
        <w:rPr>
          <w:rFonts w:cstheme="minorHAnsi"/>
        </w:rPr>
        <w:t xml:space="preserve">Wisconsin Cast Metals Association </w:t>
      </w:r>
    </w:p>
    <w:p w14:paraId="55B95C4A" w14:textId="3C7D4C07" w:rsidR="00CF4852" w:rsidRPr="00C1466C" w:rsidRDefault="00CF4852" w:rsidP="00CF4852">
      <w:pPr>
        <w:spacing w:after="0" w:line="240" w:lineRule="auto"/>
        <w:rPr>
          <w:rFonts w:cstheme="minorHAnsi"/>
        </w:rPr>
      </w:pPr>
      <w:r w:rsidRPr="00C1466C">
        <w:rPr>
          <w:rFonts w:cstheme="minorHAnsi"/>
        </w:rPr>
        <w:t>Wisconsin Industrial Energy Group</w:t>
      </w:r>
    </w:p>
    <w:bookmarkEnd w:id="3"/>
    <w:p w14:paraId="25A80237" w14:textId="77777777" w:rsidR="003F47F4" w:rsidRPr="003F47F4" w:rsidRDefault="003F47F4" w:rsidP="003F47F4">
      <w:pPr>
        <w:spacing w:after="0" w:line="240" w:lineRule="auto"/>
        <w:rPr>
          <w:rFonts w:cstheme="minorHAnsi"/>
          <w:sz w:val="24"/>
          <w:szCs w:val="24"/>
        </w:rPr>
      </w:pPr>
    </w:p>
    <w:sectPr w:rsidR="003F47F4" w:rsidRPr="003F47F4" w:rsidSect="00326C9B">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46C4" w14:textId="77777777" w:rsidR="001E4B30" w:rsidRDefault="001E4B30" w:rsidP="002E2530">
      <w:pPr>
        <w:spacing w:after="0" w:line="240" w:lineRule="auto"/>
      </w:pPr>
      <w:r>
        <w:separator/>
      </w:r>
    </w:p>
  </w:endnote>
  <w:endnote w:type="continuationSeparator" w:id="0">
    <w:p w14:paraId="19F37FF4" w14:textId="77777777" w:rsidR="001E4B30" w:rsidRDefault="001E4B30" w:rsidP="002E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31EC" w14:textId="77777777" w:rsidR="001E4B30" w:rsidRDefault="001E4B30" w:rsidP="002E2530">
      <w:pPr>
        <w:spacing w:after="0" w:line="240" w:lineRule="auto"/>
      </w:pPr>
      <w:r>
        <w:separator/>
      </w:r>
    </w:p>
  </w:footnote>
  <w:footnote w:type="continuationSeparator" w:id="0">
    <w:p w14:paraId="52E94E0D" w14:textId="77777777" w:rsidR="001E4B30" w:rsidRDefault="001E4B30" w:rsidP="002E2530">
      <w:pPr>
        <w:spacing w:after="0" w:line="240" w:lineRule="auto"/>
      </w:pPr>
      <w:r>
        <w:continuationSeparator/>
      </w:r>
    </w:p>
  </w:footnote>
  <w:footnote w:id="1">
    <w:p w14:paraId="23D92BAB" w14:textId="2D7D6D89"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w:t>
      </w:r>
      <w:r w:rsidR="00D63B2E" w:rsidRPr="00241DF6">
        <w:rPr>
          <w:rFonts w:asciiTheme="minorHAnsi" w:hAnsiTheme="minorHAnsi" w:cstheme="minorHAnsi"/>
        </w:rPr>
        <w:t xml:space="preserve">Federal Power Act. </w:t>
      </w:r>
    </w:p>
  </w:footnote>
  <w:footnote w:id="2">
    <w:p w14:paraId="5D6CFB49" w14:textId="77777777"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“Building for the Future Through Electricity Regional Transmission Planning and Cost Allocation and Generator Interconnection,” Notice of Proposed Rulemaking, April 21, 2022.  Although the NOPR was initiated under the former Chair, it remains pending. </w:t>
      </w:r>
    </w:p>
  </w:footnote>
  <w:footnote w:id="3">
    <w:p w14:paraId="38F11A41" w14:textId="77777777"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[cite to 5</w:t>
      </w:r>
      <w:r w:rsidRPr="00241DF6">
        <w:rPr>
          <w:rFonts w:asciiTheme="minorHAnsi" w:hAnsiTheme="minorHAnsi" w:cstheme="minorHAnsi"/>
          <w:vertAlign w:val="superscript"/>
        </w:rPr>
        <w:t>th</w:t>
      </w:r>
      <w:r w:rsidRPr="00241DF6">
        <w:rPr>
          <w:rFonts w:asciiTheme="minorHAnsi" w:hAnsiTheme="minorHAnsi" w:cstheme="minorHAnsi"/>
        </w:rPr>
        <w:t xml:space="preserve"> Circuit brief]</w:t>
      </w:r>
    </w:p>
  </w:footnote>
  <w:footnote w:id="4">
    <w:p w14:paraId="1488F753" w14:textId="77777777"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Federal Trade Commission, DOJ Urge FERC to Preserve Robust Wholesale Electricity Markets | Federal Trade Commission (ftc.gov)</w:t>
      </w:r>
    </w:p>
  </w:footnote>
  <w:footnote w:id="5">
    <w:p w14:paraId="6584D81B" w14:textId="77777777"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[cite]</w:t>
      </w:r>
    </w:p>
  </w:footnote>
  <w:footnote w:id="6">
    <w:p w14:paraId="3463836A" w14:textId="77777777" w:rsidR="00040AFD" w:rsidRPr="00241DF6" w:rsidRDefault="00040AFD" w:rsidP="00040AFD">
      <w:pPr>
        <w:pStyle w:val="FootnoteText"/>
        <w:rPr>
          <w:rFonts w:asciiTheme="minorHAnsi" w:hAnsiTheme="minorHAnsi" w:cstheme="minorHAns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[cite to public interest orders]</w:t>
      </w:r>
    </w:p>
  </w:footnote>
  <w:footnote w:id="7">
    <w:p w14:paraId="68B539CB" w14:textId="77777777" w:rsidR="00040AFD" w:rsidRDefault="00040AFD" w:rsidP="00040AFD">
      <w:pPr>
        <w:pStyle w:val="FootnoteText"/>
        <w:rPr>
          <w:rFonts w:ascii="Calibri" w:hAnsi="Calibri" w:cs="Calibri"/>
        </w:rPr>
      </w:pPr>
      <w:r w:rsidRPr="00241DF6">
        <w:rPr>
          <w:rStyle w:val="FootnoteReference"/>
          <w:rFonts w:asciiTheme="minorHAnsi" w:hAnsiTheme="minorHAnsi" w:cstheme="minorHAnsi"/>
        </w:rPr>
        <w:footnoteRef/>
      </w:r>
      <w:r w:rsidRPr="00241DF6">
        <w:rPr>
          <w:rFonts w:asciiTheme="minorHAnsi" w:hAnsiTheme="minorHAnsi" w:cstheme="minorHAnsi"/>
        </w:rPr>
        <w:t xml:space="preserve">  Brattle Group: Cost Savings Offered by Competition in Electric Transmission, </w:t>
      </w:r>
      <w:hyperlink r:id="rId1" w:history="1">
        <w:r w:rsidRPr="00241DF6">
          <w:rPr>
            <w:rStyle w:val="Hyperlink1"/>
            <w:rFonts w:asciiTheme="minorHAnsi" w:hAnsiTheme="minorHAnsi" w:cstheme="minorHAnsi"/>
          </w:rPr>
          <w:t>https://www.brattle.com/wp-content/uploads/2021/05/16726_cost_savings_offered_by_competition_in_electric_transmission.pdf</w:t>
        </w:r>
      </w:hyperlink>
      <w:r w:rsidRPr="00241DF6">
        <w:rPr>
          <w:rFonts w:asciiTheme="minorHAnsi" w:hAnsiTheme="minorHAnsi" w:cstheme="minorHAnsi"/>
        </w:rPr>
        <w:t xml:space="preserve">  Even a 25 percent savings would save consumers an estimated $525 billion by 2050. More specifically, reports indicate that</w:t>
      </w:r>
      <w:r w:rsidRPr="007C70AF">
        <w:t xml:space="preserve"> competitive bidding processes could yield savings as follows: MISO (Midwest region): 15-28 percent cost savings; Southwest region (Southwest Power Pool): 50-58 percent savings; and Mid-Atlantic (PJM) region: 60-67 percent savings.</w:t>
      </w:r>
    </w:p>
  </w:footnote>
  <w:footnote w:id="8">
    <w:p w14:paraId="0B771B1C" w14:textId="77777777" w:rsidR="00040AFD" w:rsidRDefault="00040AFD" w:rsidP="00040AFD">
      <w:pPr>
        <w:pStyle w:val="FootnoteText"/>
      </w:pPr>
      <w:r>
        <w:rPr>
          <w:rStyle w:val="FootnoteReference"/>
        </w:rPr>
        <w:footnoteRef/>
      </w:r>
      <w:r>
        <w:t xml:space="preserve"> </w:t>
      </w:r>
      <w:r w:rsidRPr="007C70AF">
        <w:t xml:space="preserve">NET-ZERO AMERICA: Potential Pathways, Infrastructure, and Impacts, Princeton University, </w:t>
      </w:r>
      <w:hyperlink r:id="rId2" w:history="1">
        <w:r w:rsidRPr="00C02183">
          <w:rPr>
            <w:rStyle w:val="Hyperlink"/>
          </w:rPr>
          <w:t>https://netzeroamerica.princeton.edu/?explorer=year&amp;state=national&amp;table=2020&amp;limit=200</w:t>
        </w:r>
      </w:hyperlink>
      <w:r>
        <w:t xml:space="preserve"> </w:t>
      </w:r>
    </w:p>
  </w:footnote>
  <w:footnote w:id="9">
    <w:p w14:paraId="7357A609" w14:textId="77777777" w:rsidR="00040AFD" w:rsidRDefault="00040AFD" w:rsidP="00040AFD">
      <w:pPr>
        <w:pStyle w:val="FootnoteText"/>
      </w:pPr>
      <w:r>
        <w:rPr>
          <w:rStyle w:val="FootnoteReference"/>
        </w:rPr>
        <w:footnoteRef/>
      </w:r>
      <w:r>
        <w:t xml:space="preserve"> </w:t>
      </w:r>
      <w:r w:rsidRPr="007C70AF">
        <w:t>https://www.ieca-us.com/wp-content/uploads/2022.9.30-FINAL-Pro-Competition-Senate-ENR-letter-to-FERC_-Heinrich-Lee.pdf</w:t>
      </w:r>
    </w:p>
  </w:footnote>
  <w:footnote w:id="10">
    <w:p w14:paraId="2C47489B" w14:textId="77777777" w:rsidR="00040AFD" w:rsidRDefault="00040AFD" w:rsidP="00040AFD">
      <w:pPr>
        <w:pStyle w:val="FootnoteText"/>
      </w:pPr>
      <w:r>
        <w:rPr>
          <w:rStyle w:val="FootnoteReference"/>
        </w:rPr>
        <w:footnoteRef/>
      </w:r>
      <w:r>
        <w:t xml:space="preserve"> </w:t>
      </w:r>
      <w:hyperlink r:id="rId3" w:history="1">
        <w:r w:rsidRPr="00C02183">
          <w:rPr>
            <w:rStyle w:val="Hyperlink"/>
          </w:rPr>
          <w:t>https://electricitytransmissioncompetitioncoalition.org/</w:t>
        </w:r>
      </w:hyperlink>
      <w:r>
        <w:t xml:space="preserve"> Groups as divergent as the California Public Utilities Commission and the R Street Institute agree that transmission competition is essential to electricity consumers, large and small.  </w:t>
      </w:r>
    </w:p>
  </w:footnote>
  <w:footnote w:id="11">
    <w:p w14:paraId="45B93B2C" w14:textId="77777777" w:rsidR="00040AFD" w:rsidRDefault="00040AFD" w:rsidP="00040AFD">
      <w:pPr>
        <w:pStyle w:val="FootnoteText"/>
      </w:pPr>
      <w:r>
        <w:rPr>
          <w:rStyle w:val="FootnoteReference"/>
        </w:rPr>
        <w:footnoteRef/>
      </w:r>
      <w:r>
        <w:t xml:space="preserve"> </w:t>
      </w:r>
      <w:r w:rsidRPr="000845B2">
        <w:t xml:space="preserve"> Iowa Supreme Court: </w:t>
      </w:r>
      <w:hyperlink r:id="rId4" w:history="1">
        <w:r w:rsidRPr="00C02183">
          <w:rPr>
            <w:rStyle w:val="Hyperlink"/>
          </w:rPr>
          <w:t>https://www.iowacourts.gov/courtcases/15908/embed/SupremeCourtOpinion</w:t>
        </w:r>
      </w:hyperlink>
      <w:r>
        <w:t xml:space="preserve"> at 34.</w:t>
      </w:r>
    </w:p>
  </w:footnote>
  <w:footnote w:id="12">
    <w:p w14:paraId="6E1FF128" w14:textId="77777777" w:rsidR="00040AFD" w:rsidRDefault="00040AFD" w:rsidP="00040AFD">
      <w:pPr>
        <w:pStyle w:val="FootnoteText"/>
      </w:pPr>
      <w:r>
        <w:rPr>
          <w:rStyle w:val="FootnoteReference"/>
        </w:rPr>
        <w:footnoteRef/>
      </w:r>
      <w:r>
        <w:t xml:space="preserve">  Id.</w:t>
      </w:r>
    </w:p>
  </w:footnote>
  <w:footnote w:id="13">
    <w:p w14:paraId="5A737421" w14:textId="77777777" w:rsidR="00040AFD" w:rsidRDefault="00040AFD" w:rsidP="00040AFD">
      <w:pPr>
        <w:pStyle w:val="FootnoteText"/>
      </w:pPr>
      <w:r>
        <w:rPr>
          <w:rStyle w:val="FootnoteReference"/>
        </w:rPr>
        <w:footnoteRef/>
      </w:r>
      <w:r>
        <w:t xml:space="preserve"> </w:t>
      </w:r>
      <w:hyperlink r:id="rId5" w:history="1">
        <w:r w:rsidRPr="00C02183">
          <w:rPr>
            <w:rStyle w:val="Hyperlink"/>
          </w:rPr>
          <w:t>https://www.barrasso.senate.gov/public/index.cfm/news-releases?ID=7ED77CFE-162B-4ACE-9821-E45E785B8F5E</w:t>
        </w:r>
      </w:hyperlink>
      <w:r>
        <w:t xml:space="preserve"> </w:t>
      </w:r>
    </w:p>
  </w:footnote>
  <w:footnote w:id="14">
    <w:p w14:paraId="1A3B05B6" w14:textId="77777777" w:rsidR="00040AFD" w:rsidRDefault="00040AFD" w:rsidP="00040AFD">
      <w:pPr>
        <w:pStyle w:val="FootnoteText"/>
      </w:pPr>
      <w:r>
        <w:rPr>
          <w:rStyle w:val="FootnoteReference"/>
        </w:rPr>
        <w:footnoteRef/>
      </w:r>
      <w:r>
        <w:t xml:space="preserve"> See, </w:t>
      </w:r>
      <w:hyperlink r:id="rId6" w:history="1">
        <w:r w:rsidRPr="00C02183">
          <w:rPr>
            <w:rStyle w:val="Hyperlink"/>
          </w:rPr>
          <w:t>http://electricitytransmissioncompetitioncoalition.org/wp-content/uploads/ETCC-ANOPR-Comments-Filed1.pdf</w:t>
        </w:r>
      </w:hyperlink>
      <w:r>
        <w:t xml:space="preserve"> asking for competition for transmission at 100 kV and above, and independent transmission planning.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12E5"/>
    <w:multiLevelType w:val="hybridMultilevel"/>
    <w:tmpl w:val="4DE854A0"/>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86856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E2"/>
    <w:rsid w:val="00001630"/>
    <w:rsid w:val="00003DF6"/>
    <w:rsid w:val="0000488A"/>
    <w:rsid w:val="000078C9"/>
    <w:rsid w:val="00015BD8"/>
    <w:rsid w:val="00022C9D"/>
    <w:rsid w:val="00040AFD"/>
    <w:rsid w:val="00045E9B"/>
    <w:rsid w:val="00051514"/>
    <w:rsid w:val="000528B5"/>
    <w:rsid w:val="000709FC"/>
    <w:rsid w:val="000765AE"/>
    <w:rsid w:val="00086D50"/>
    <w:rsid w:val="000A1A12"/>
    <w:rsid w:val="000A3EF8"/>
    <w:rsid w:val="000A62F8"/>
    <w:rsid w:val="000B111A"/>
    <w:rsid w:val="000B34F1"/>
    <w:rsid w:val="000B432C"/>
    <w:rsid w:val="000B525F"/>
    <w:rsid w:val="000C3F69"/>
    <w:rsid w:val="000C4AE0"/>
    <w:rsid w:val="000C7874"/>
    <w:rsid w:val="000D0CA4"/>
    <w:rsid w:val="000D1604"/>
    <w:rsid w:val="000D2C4B"/>
    <w:rsid w:val="000D47C1"/>
    <w:rsid w:val="000E45DF"/>
    <w:rsid w:val="000F5851"/>
    <w:rsid w:val="0010020F"/>
    <w:rsid w:val="0010071A"/>
    <w:rsid w:val="00103ADC"/>
    <w:rsid w:val="00121C05"/>
    <w:rsid w:val="00124CDA"/>
    <w:rsid w:val="00135DE5"/>
    <w:rsid w:val="00145D11"/>
    <w:rsid w:val="0016157D"/>
    <w:rsid w:val="00163F8B"/>
    <w:rsid w:val="00172B7E"/>
    <w:rsid w:val="00173AFB"/>
    <w:rsid w:val="00174AE0"/>
    <w:rsid w:val="0017516B"/>
    <w:rsid w:val="00177299"/>
    <w:rsid w:val="00177C17"/>
    <w:rsid w:val="00182ABE"/>
    <w:rsid w:val="00193E50"/>
    <w:rsid w:val="00195511"/>
    <w:rsid w:val="001A0AE7"/>
    <w:rsid w:val="001B5756"/>
    <w:rsid w:val="001C6724"/>
    <w:rsid w:val="001D1B95"/>
    <w:rsid w:val="001D51EA"/>
    <w:rsid w:val="001D584C"/>
    <w:rsid w:val="001E4335"/>
    <w:rsid w:val="001E4569"/>
    <w:rsid w:val="001E4B30"/>
    <w:rsid w:val="001F084A"/>
    <w:rsid w:val="001F0FBC"/>
    <w:rsid w:val="001F123B"/>
    <w:rsid w:val="001F3DC7"/>
    <w:rsid w:val="00203D4E"/>
    <w:rsid w:val="0020688C"/>
    <w:rsid w:val="00215C5C"/>
    <w:rsid w:val="00222E78"/>
    <w:rsid w:val="00226A7E"/>
    <w:rsid w:val="002322A4"/>
    <w:rsid w:val="002342F6"/>
    <w:rsid w:val="00241DF6"/>
    <w:rsid w:val="00243117"/>
    <w:rsid w:val="00245F4F"/>
    <w:rsid w:val="00250EF4"/>
    <w:rsid w:val="002550B4"/>
    <w:rsid w:val="00266AB6"/>
    <w:rsid w:val="00273BE3"/>
    <w:rsid w:val="00277B27"/>
    <w:rsid w:val="00286DD4"/>
    <w:rsid w:val="0029027B"/>
    <w:rsid w:val="002954D5"/>
    <w:rsid w:val="00296E01"/>
    <w:rsid w:val="00296E4C"/>
    <w:rsid w:val="002B0DDF"/>
    <w:rsid w:val="002B265C"/>
    <w:rsid w:val="002B5267"/>
    <w:rsid w:val="002D1425"/>
    <w:rsid w:val="002D25B3"/>
    <w:rsid w:val="002D6638"/>
    <w:rsid w:val="002E2530"/>
    <w:rsid w:val="002E3F69"/>
    <w:rsid w:val="002F6252"/>
    <w:rsid w:val="00302ABF"/>
    <w:rsid w:val="003103A1"/>
    <w:rsid w:val="003108B2"/>
    <w:rsid w:val="00316B18"/>
    <w:rsid w:val="003219FE"/>
    <w:rsid w:val="00322BD8"/>
    <w:rsid w:val="00326B37"/>
    <w:rsid w:val="00326C9B"/>
    <w:rsid w:val="00357738"/>
    <w:rsid w:val="003577C0"/>
    <w:rsid w:val="0036080C"/>
    <w:rsid w:val="00373A66"/>
    <w:rsid w:val="00374E5F"/>
    <w:rsid w:val="003771DC"/>
    <w:rsid w:val="003778D4"/>
    <w:rsid w:val="003935B9"/>
    <w:rsid w:val="0039396C"/>
    <w:rsid w:val="003A589F"/>
    <w:rsid w:val="003A5A6B"/>
    <w:rsid w:val="003B4A7C"/>
    <w:rsid w:val="003B4DDE"/>
    <w:rsid w:val="003B5798"/>
    <w:rsid w:val="003C42D4"/>
    <w:rsid w:val="003D5649"/>
    <w:rsid w:val="003E614A"/>
    <w:rsid w:val="003F47F4"/>
    <w:rsid w:val="00406F91"/>
    <w:rsid w:val="004106CA"/>
    <w:rsid w:val="00414184"/>
    <w:rsid w:val="004165D6"/>
    <w:rsid w:val="00421B7F"/>
    <w:rsid w:val="004231BB"/>
    <w:rsid w:val="004232D7"/>
    <w:rsid w:val="0042364B"/>
    <w:rsid w:val="00434109"/>
    <w:rsid w:val="00437767"/>
    <w:rsid w:val="00441BDE"/>
    <w:rsid w:val="004458C0"/>
    <w:rsid w:val="00455929"/>
    <w:rsid w:val="00460702"/>
    <w:rsid w:val="004623F9"/>
    <w:rsid w:val="0046303A"/>
    <w:rsid w:val="00464677"/>
    <w:rsid w:val="00474DCB"/>
    <w:rsid w:val="00482DA3"/>
    <w:rsid w:val="0048547D"/>
    <w:rsid w:val="0048751E"/>
    <w:rsid w:val="004A03CE"/>
    <w:rsid w:val="004A5764"/>
    <w:rsid w:val="004C14C0"/>
    <w:rsid w:val="004C3198"/>
    <w:rsid w:val="004D30DF"/>
    <w:rsid w:val="004D58F3"/>
    <w:rsid w:val="004E469C"/>
    <w:rsid w:val="004F612E"/>
    <w:rsid w:val="005072E1"/>
    <w:rsid w:val="00512955"/>
    <w:rsid w:val="0051659B"/>
    <w:rsid w:val="00516812"/>
    <w:rsid w:val="0052295D"/>
    <w:rsid w:val="00524AC3"/>
    <w:rsid w:val="0054442E"/>
    <w:rsid w:val="005468EA"/>
    <w:rsid w:val="0054703C"/>
    <w:rsid w:val="00566E9F"/>
    <w:rsid w:val="00567C54"/>
    <w:rsid w:val="00571A4B"/>
    <w:rsid w:val="0057390A"/>
    <w:rsid w:val="005905E6"/>
    <w:rsid w:val="00594489"/>
    <w:rsid w:val="005C723F"/>
    <w:rsid w:val="005D19C6"/>
    <w:rsid w:val="005D54B1"/>
    <w:rsid w:val="005E3C71"/>
    <w:rsid w:val="005E7B9F"/>
    <w:rsid w:val="005F0099"/>
    <w:rsid w:val="005F01A5"/>
    <w:rsid w:val="00600498"/>
    <w:rsid w:val="00601B11"/>
    <w:rsid w:val="006034FF"/>
    <w:rsid w:val="00610E80"/>
    <w:rsid w:val="0062197F"/>
    <w:rsid w:val="00634712"/>
    <w:rsid w:val="00640B33"/>
    <w:rsid w:val="00643331"/>
    <w:rsid w:val="0065463B"/>
    <w:rsid w:val="006570E2"/>
    <w:rsid w:val="00660E3E"/>
    <w:rsid w:val="00666311"/>
    <w:rsid w:val="00673C19"/>
    <w:rsid w:val="00684600"/>
    <w:rsid w:val="00695BF1"/>
    <w:rsid w:val="006A29BF"/>
    <w:rsid w:val="006B0999"/>
    <w:rsid w:val="006B3288"/>
    <w:rsid w:val="006B4912"/>
    <w:rsid w:val="006C0E74"/>
    <w:rsid w:val="006C46FE"/>
    <w:rsid w:val="006C6D0C"/>
    <w:rsid w:val="006C701E"/>
    <w:rsid w:val="006D2484"/>
    <w:rsid w:val="006D6DD5"/>
    <w:rsid w:val="006E4DF2"/>
    <w:rsid w:val="006F2101"/>
    <w:rsid w:val="007003BF"/>
    <w:rsid w:val="00702FDF"/>
    <w:rsid w:val="0071151C"/>
    <w:rsid w:val="00712BBF"/>
    <w:rsid w:val="00714436"/>
    <w:rsid w:val="00722B76"/>
    <w:rsid w:val="00723461"/>
    <w:rsid w:val="00723751"/>
    <w:rsid w:val="0072413C"/>
    <w:rsid w:val="00727B45"/>
    <w:rsid w:val="007307B4"/>
    <w:rsid w:val="00731F2E"/>
    <w:rsid w:val="00733BE8"/>
    <w:rsid w:val="00734CFB"/>
    <w:rsid w:val="00734E08"/>
    <w:rsid w:val="007351DA"/>
    <w:rsid w:val="007370DE"/>
    <w:rsid w:val="007405FE"/>
    <w:rsid w:val="007423B3"/>
    <w:rsid w:val="00744D52"/>
    <w:rsid w:val="007637AA"/>
    <w:rsid w:val="00764FC3"/>
    <w:rsid w:val="0076676F"/>
    <w:rsid w:val="00783ED9"/>
    <w:rsid w:val="0078430E"/>
    <w:rsid w:val="007858DB"/>
    <w:rsid w:val="00786BD3"/>
    <w:rsid w:val="00793F1E"/>
    <w:rsid w:val="007A17DE"/>
    <w:rsid w:val="007B0419"/>
    <w:rsid w:val="007C0AE2"/>
    <w:rsid w:val="007C7CB0"/>
    <w:rsid w:val="007D3947"/>
    <w:rsid w:val="007D5508"/>
    <w:rsid w:val="007D5550"/>
    <w:rsid w:val="007D6BED"/>
    <w:rsid w:val="007E05FF"/>
    <w:rsid w:val="007E58DB"/>
    <w:rsid w:val="007F182D"/>
    <w:rsid w:val="007F3777"/>
    <w:rsid w:val="007F4D28"/>
    <w:rsid w:val="007F69CD"/>
    <w:rsid w:val="008004F3"/>
    <w:rsid w:val="00806958"/>
    <w:rsid w:val="00807062"/>
    <w:rsid w:val="00810644"/>
    <w:rsid w:val="00812AF0"/>
    <w:rsid w:val="00817C32"/>
    <w:rsid w:val="00821EB4"/>
    <w:rsid w:val="00822AE6"/>
    <w:rsid w:val="00826E46"/>
    <w:rsid w:val="00850496"/>
    <w:rsid w:val="00851E94"/>
    <w:rsid w:val="008528EC"/>
    <w:rsid w:val="00857AE6"/>
    <w:rsid w:val="00860C5D"/>
    <w:rsid w:val="0086397E"/>
    <w:rsid w:val="0087295A"/>
    <w:rsid w:val="00875081"/>
    <w:rsid w:val="008814A8"/>
    <w:rsid w:val="0088159B"/>
    <w:rsid w:val="00881CEC"/>
    <w:rsid w:val="00882C37"/>
    <w:rsid w:val="00884C98"/>
    <w:rsid w:val="00886159"/>
    <w:rsid w:val="00886FF0"/>
    <w:rsid w:val="00895219"/>
    <w:rsid w:val="00895528"/>
    <w:rsid w:val="008956A6"/>
    <w:rsid w:val="008A618F"/>
    <w:rsid w:val="008A68E5"/>
    <w:rsid w:val="008A70E6"/>
    <w:rsid w:val="008B5662"/>
    <w:rsid w:val="008B666F"/>
    <w:rsid w:val="008C0B21"/>
    <w:rsid w:val="008C15CA"/>
    <w:rsid w:val="008C47D4"/>
    <w:rsid w:val="008E3555"/>
    <w:rsid w:val="008E7F87"/>
    <w:rsid w:val="00913CFD"/>
    <w:rsid w:val="00916277"/>
    <w:rsid w:val="009274EF"/>
    <w:rsid w:val="00927D15"/>
    <w:rsid w:val="00932598"/>
    <w:rsid w:val="00933510"/>
    <w:rsid w:val="00941B50"/>
    <w:rsid w:val="00942924"/>
    <w:rsid w:val="00956870"/>
    <w:rsid w:val="00961228"/>
    <w:rsid w:val="0096257A"/>
    <w:rsid w:val="0097306E"/>
    <w:rsid w:val="0097374A"/>
    <w:rsid w:val="00973B13"/>
    <w:rsid w:val="00983ACC"/>
    <w:rsid w:val="0099096C"/>
    <w:rsid w:val="00994CF8"/>
    <w:rsid w:val="009A68C0"/>
    <w:rsid w:val="009A7435"/>
    <w:rsid w:val="009B1339"/>
    <w:rsid w:val="009B5289"/>
    <w:rsid w:val="009C69BE"/>
    <w:rsid w:val="009D0805"/>
    <w:rsid w:val="009D706F"/>
    <w:rsid w:val="009E1317"/>
    <w:rsid w:val="009F4F6C"/>
    <w:rsid w:val="00A07470"/>
    <w:rsid w:val="00A10337"/>
    <w:rsid w:val="00A20BE8"/>
    <w:rsid w:val="00A23287"/>
    <w:rsid w:val="00A236C6"/>
    <w:rsid w:val="00A34FE6"/>
    <w:rsid w:val="00A449F8"/>
    <w:rsid w:val="00A5510E"/>
    <w:rsid w:val="00A5743B"/>
    <w:rsid w:val="00A57634"/>
    <w:rsid w:val="00A6325D"/>
    <w:rsid w:val="00A658ED"/>
    <w:rsid w:val="00A679D8"/>
    <w:rsid w:val="00A7090C"/>
    <w:rsid w:val="00A72FE0"/>
    <w:rsid w:val="00A732EB"/>
    <w:rsid w:val="00A94DA0"/>
    <w:rsid w:val="00A966FF"/>
    <w:rsid w:val="00A976BF"/>
    <w:rsid w:val="00AA1031"/>
    <w:rsid w:val="00AA5B9D"/>
    <w:rsid w:val="00AB3D32"/>
    <w:rsid w:val="00AC51DF"/>
    <w:rsid w:val="00AF27E0"/>
    <w:rsid w:val="00AF4B6B"/>
    <w:rsid w:val="00AF562F"/>
    <w:rsid w:val="00B02F89"/>
    <w:rsid w:val="00B049C6"/>
    <w:rsid w:val="00B13FDE"/>
    <w:rsid w:val="00B321DB"/>
    <w:rsid w:val="00B336E9"/>
    <w:rsid w:val="00B34CDC"/>
    <w:rsid w:val="00B35C4E"/>
    <w:rsid w:val="00B41BB5"/>
    <w:rsid w:val="00B42B31"/>
    <w:rsid w:val="00B51126"/>
    <w:rsid w:val="00B5515F"/>
    <w:rsid w:val="00B5706C"/>
    <w:rsid w:val="00B60943"/>
    <w:rsid w:val="00B62C4F"/>
    <w:rsid w:val="00B65C0A"/>
    <w:rsid w:val="00B66360"/>
    <w:rsid w:val="00B675A3"/>
    <w:rsid w:val="00B71E74"/>
    <w:rsid w:val="00B734E6"/>
    <w:rsid w:val="00B77466"/>
    <w:rsid w:val="00B8049A"/>
    <w:rsid w:val="00B8233F"/>
    <w:rsid w:val="00B91F62"/>
    <w:rsid w:val="00B93A37"/>
    <w:rsid w:val="00BC27A2"/>
    <w:rsid w:val="00BD2D73"/>
    <w:rsid w:val="00BF4D76"/>
    <w:rsid w:val="00C1466C"/>
    <w:rsid w:val="00C22FF8"/>
    <w:rsid w:val="00C252BB"/>
    <w:rsid w:val="00C259F2"/>
    <w:rsid w:val="00C35256"/>
    <w:rsid w:val="00C3736C"/>
    <w:rsid w:val="00C45E1A"/>
    <w:rsid w:val="00C524D4"/>
    <w:rsid w:val="00C5771D"/>
    <w:rsid w:val="00C6042B"/>
    <w:rsid w:val="00C73B39"/>
    <w:rsid w:val="00C868C1"/>
    <w:rsid w:val="00C917F3"/>
    <w:rsid w:val="00C97923"/>
    <w:rsid w:val="00CA04A7"/>
    <w:rsid w:val="00CA3D04"/>
    <w:rsid w:val="00CA7832"/>
    <w:rsid w:val="00CB5DDE"/>
    <w:rsid w:val="00CC334B"/>
    <w:rsid w:val="00CC3792"/>
    <w:rsid w:val="00CD042B"/>
    <w:rsid w:val="00CD19F0"/>
    <w:rsid w:val="00CE3F10"/>
    <w:rsid w:val="00CE598D"/>
    <w:rsid w:val="00CF15AF"/>
    <w:rsid w:val="00CF3F99"/>
    <w:rsid w:val="00CF4852"/>
    <w:rsid w:val="00D0452E"/>
    <w:rsid w:val="00D16A79"/>
    <w:rsid w:val="00D16F73"/>
    <w:rsid w:val="00D20642"/>
    <w:rsid w:val="00D237DB"/>
    <w:rsid w:val="00D241B3"/>
    <w:rsid w:val="00D26078"/>
    <w:rsid w:val="00D433DD"/>
    <w:rsid w:val="00D47EC5"/>
    <w:rsid w:val="00D54607"/>
    <w:rsid w:val="00D56E8E"/>
    <w:rsid w:val="00D60A17"/>
    <w:rsid w:val="00D62357"/>
    <w:rsid w:val="00D63B2E"/>
    <w:rsid w:val="00D659F3"/>
    <w:rsid w:val="00D855EE"/>
    <w:rsid w:val="00D86E23"/>
    <w:rsid w:val="00D91455"/>
    <w:rsid w:val="00D95BC8"/>
    <w:rsid w:val="00DA1F97"/>
    <w:rsid w:val="00DA2945"/>
    <w:rsid w:val="00DB13C0"/>
    <w:rsid w:val="00DB3785"/>
    <w:rsid w:val="00DB3EA3"/>
    <w:rsid w:val="00DB6DD7"/>
    <w:rsid w:val="00DD1984"/>
    <w:rsid w:val="00DD594C"/>
    <w:rsid w:val="00DE1D1C"/>
    <w:rsid w:val="00DE4E0C"/>
    <w:rsid w:val="00DE7FF6"/>
    <w:rsid w:val="00DF7F7D"/>
    <w:rsid w:val="00E01E00"/>
    <w:rsid w:val="00E03D5E"/>
    <w:rsid w:val="00E04A77"/>
    <w:rsid w:val="00E0745E"/>
    <w:rsid w:val="00E224D3"/>
    <w:rsid w:val="00E31315"/>
    <w:rsid w:val="00E318A0"/>
    <w:rsid w:val="00E3451C"/>
    <w:rsid w:val="00E34CFC"/>
    <w:rsid w:val="00E54473"/>
    <w:rsid w:val="00E66E0C"/>
    <w:rsid w:val="00E70012"/>
    <w:rsid w:val="00E72CFD"/>
    <w:rsid w:val="00E76553"/>
    <w:rsid w:val="00E77EB3"/>
    <w:rsid w:val="00E800A6"/>
    <w:rsid w:val="00E80954"/>
    <w:rsid w:val="00E8434A"/>
    <w:rsid w:val="00E925A2"/>
    <w:rsid w:val="00E97047"/>
    <w:rsid w:val="00EA00C8"/>
    <w:rsid w:val="00EA5AFF"/>
    <w:rsid w:val="00EA6BA4"/>
    <w:rsid w:val="00EB3857"/>
    <w:rsid w:val="00EB3FDD"/>
    <w:rsid w:val="00EE5467"/>
    <w:rsid w:val="00EE5B60"/>
    <w:rsid w:val="00EF0755"/>
    <w:rsid w:val="00F01C59"/>
    <w:rsid w:val="00F10C89"/>
    <w:rsid w:val="00F12F42"/>
    <w:rsid w:val="00F16B92"/>
    <w:rsid w:val="00F20C48"/>
    <w:rsid w:val="00F22059"/>
    <w:rsid w:val="00F22892"/>
    <w:rsid w:val="00F256E5"/>
    <w:rsid w:val="00F37212"/>
    <w:rsid w:val="00F42B81"/>
    <w:rsid w:val="00F47830"/>
    <w:rsid w:val="00F52353"/>
    <w:rsid w:val="00F61D19"/>
    <w:rsid w:val="00F6233A"/>
    <w:rsid w:val="00F62D52"/>
    <w:rsid w:val="00F64E60"/>
    <w:rsid w:val="00F66B7F"/>
    <w:rsid w:val="00F6791E"/>
    <w:rsid w:val="00F832B8"/>
    <w:rsid w:val="00F84D35"/>
    <w:rsid w:val="00F87CE9"/>
    <w:rsid w:val="00F907AA"/>
    <w:rsid w:val="00F93843"/>
    <w:rsid w:val="00FA074F"/>
    <w:rsid w:val="00FB229B"/>
    <w:rsid w:val="00FB3AD0"/>
    <w:rsid w:val="00FC728E"/>
    <w:rsid w:val="00FD5387"/>
    <w:rsid w:val="00FF1F13"/>
    <w:rsid w:val="00FF501C"/>
    <w:rsid w:val="00FF7A55"/>
    <w:rsid w:val="2404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81B7"/>
  <w15:chartTrackingRefBased/>
  <w15:docId w15:val="{41B77C48-2629-4EE7-80FE-F1944576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Footnote Text Char Char Char Char Char,Footnote Text Char Char1 Char Char,Footnote Text Char Char2 Char,Footnote Text Char1 Char Char Char,Footnote Text Char1 Char1 Char,Footnote Text Char2 Char,char Char"/>
    <w:basedOn w:val="DefaultParagraphFont"/>
    <w:link w:val="FootnoteText"/>
    <w:uiPriority w:val="99"/>
    <w:locked/>
    <w:rsid w:val="002E2530"/>
    <w:rPr>
      <w:rFonts w:ascii="Times New Roman" w:eastAsia="Times New Roman" w:hAnsi="Times New Roman" w:cs="Times New Roman"/>
      <w:sz w:val="20"/>
      <w:szCs w:val="20"/>
    </w:rPr>
  </w:style>
  <w:style w:type="paragraph" w:styleId="FootnoteText">
    <w:name w:val="footnote text"/>
    <w:aliases w:val="Footnote Text Char Char,Footnote Text Char Char Char Char,Footnote Text Char Char1 Char,Footnote Text Char Char2,Footnote Text Char1 Char Char,Footnote Text Char1 Char1,Footnote Text Char2,Footnote text,char,fn,fn Char"/>
    <w:basedOn w:val="Normal"/>
    <w:link w:val="FootnoteTextChar"/>
    <w:uiPriority w:val="99"/>
    <w:unhideWhenUsed/>
    <w:qFormat/>
    <w:rsid w:val="002E253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2E2530"/>
    <w:rPr>
      <w:sz w:val="20"/>
      <w:szCs w:val="20"/>
    </w:rPr>
  </w:style>
  <w:style w:type="character" w:styleId="FootnoteReference">
    <w:name w:val="footnote reference"/>
    <w:aliases w:val="(NECG) Footnote Reference,Styl,Style 12,Style 13,Style 15,Style 17,Style 18,Style 19,Style 20,Style 28,Style 42,Style 7,Style 8,Style 9,fr,fr1,fr2,fr3,o,o1,o2,o3,Style 11,Style 16,Footnote Reference (EIS),fnr,Footnote reference (EA),."/>
    <w:uiPriority w:val="99"/>
    <w:semiHidden/>
    <w:unhideWhenUsed/>
    <w:qFormat/>
    <w:rsid w:val="002E2530"/>
    <w:rPr>
      <w:vertAlign w:val="superscript"/>
    </w:rPr>
  </w:style>
  <w:style w:type="character" w:styleId="Hyperlink">
    <w:name w:val="Hyperlink"/>
    <w:basedOn w:val="DefaultParagraphFont"/>
    <w:uiPriority w:val="99"/>
    <w:unhideWhenUsed/>
    <w:rsid w:val="002E2530"/>
    <w:rPr>
      <w:color w:val="0563C1" w:themeColor="hyperlink"/>
      <w:u w:val="single"/>
    </w:rPr>
  </w:style>
  <w:style w:type="character" w:styleId="UnresolvedMention">
    <w:name w:val="Unresolved Mention"/>
    <w:basedOn w:val="DefaultParagraphFont"/>
    <w:uiPriority w:val="99"/>
    <w:semiHidden/>
    <w:unhideWhenUsed/>
    <w:rsid w:val="00567C54"/>
    <w:rPr>
      <w:color w:val="605E5C"/>
      <w:shd w:val="clear" w:color="auto" w:fill="E1DFDD"/>
    </w:rPr>
  </w:style>
  <w:style w:type="character" w:styleId="CommentReference">
    <w:name w:val="annotation reference"/>
    <w:basedOn w:val="DefaultParagraphFont"/>
    <w:uiPriority w:val="99"/>
    <w:semiHidden/>
    <w:unhideWhenUsed/>
    <w:rsid w:val="0051659B"/>
    <w:rPr>
      <w:sz w:val="16"/>
      <w:szCs w:val="16"/>
    </w:rPr>
  </w:style>
  <w:style w:type="paragraph" w:styleId="CommentText">
    <w:name w:val="annotation text"/>
    <w:basedOn w:val="Normal"/>
    <w:link w:val="CommentTextChar"/>
    <w:uiPriority w:val="99"/>
    <w:semiHidden/>
    <w:unhideWhenUsed/>
    <w:rsid w:val="0051659B"/>
    <w:pPr>
      <w:spacing w:line="240" w:lineRule="auto"/>
    </w:pPr>
    <w:rPr>
      <w:sz w:val="20"/>
      <w:szCs w:val="20"/>
    </w:rPr>
  </w:style>
  <w:style w:type="character" w:customStyle="1" w:styleId="CommentTextChar">
    <w:name w:val="Comment Text Char"/>
    <w:basedOn w:val="DefaultParagraphFont"/>
    <w:link w:val="CommentText"/>
    <w:uiPriority w:val="99"/>
    <w:semiHidden/>
    <w:rsid w:val="0051659B"/>
    <w:rPr>
      <w:sz w:val="20"/>
      <w:szCs w:val="20"/>
    </w:rPr>
  </w:style>
  <w:style w:type="paragraph" w:styleId="CommentSubject">
    <w:name w:val="annotation subject"/>
    <w:basedOn w:val="CommentText"/>
    <w:next w:val="CommentText"/>
    <w:link w:val="CommentSubjectChar"/>
    <w:uiPriority w:val="99"/>
    <w:semiHidden/>
    <w:unhideWhenUsed/>
    <w:rsid w:val="0051659B"/>
    <w:rPr>
      <w:b/>
      <w:bCs/>
    </w:rPr>
  </w:style>
  <w:style w:type="character" w:customStyle="1" w:styleId="CommentSubjectChar">
    <w:name w:val="Comment Subject Char"/>
    <w:basedOn w:val="CommentTextChar"/>
    <w:link w:val="CommentSubject"/>
    <w:uiPriority w:val="99"/>
    <w:semiHidden/>
    <w:rsid w:val="0051659B"/>
    <w:rPr>
      <w:b/>
      <w:bCs/>
      <w:sz w:val="20"/>
      <w:szCs w:val="20"/>
    </w:rPr>
  </w:style>
  <w:style w:type="paragraph" w:styleId="Revision">
    <w:name w:val="Revision"/>
    <w:hidden/>
    <w:uiPriority w:val="99"/>
    <w:semiHidden/>
    <w:rsid w:val="006E4DF2"/>
    <w:pPr>
      <w:spacing w:after="0" w:line="240" w:lineRule="auto"/>
    </w:pPr>
  </w:style>
  <w:style w:type="paragraph" w:styleId="BodyText">
    <w:name w:val="Body Text"/>
    <w:basedOn w:val="Normal"/>
    <w:link w:val="BodyTextChar"/>
    <w:uiPriority w:val="1"/>
    <w:unhideWhenUsed/>
    <w:qFormat/>
    <w:rsid w:val="00C9792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792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FE6"/>
    <w:rPr>
      <w:color w:val="954F72" w:themeColor="followedHyperlink"/>
      <w:u w:val="single"/>
    </w:rPr>
  </w:style>
  <w:style w:type="character" w:customStyle="1" w:styleId="Hyperlink1">
    <w:name w:val="Hyperlink1"/>
    <w:basedOn w:val="DefaultParagraphFont"/>
    <w:uiPriority w:val="99"/>
    <w:semiHidden/>
    <w:unhideWhenUsed/>
    <w:rsid w:val="00040AFD"/>
    <w:rPr>
      <w:color w:val="0563C1"/>
      <w:u w:val="single"/>
    </w:rPr>
  </w:style>
  <w:style w:type="paragraph" w:styleId="NoSpacing">
    <w:name w:val="No Spacing"/>
    <w:uiPriority w:val="1"/>
    <w:qFormat/>
    <w:rsid w:val="00C45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8894">
      <w:bodyDiv w:val="1"/>
      <w:marLeft w:val="0"/>
      <w:marRight w:val="0"/>
      <w:marTop w:val="0"/>
      <w:marBottom w:val="0"/>
      <w:divBdr>
        <w:top w:val="none" w:sz="0" w:space="0" w:color="auto"/>
        <w:left w:val="none" w:sz="0" w:space="0" w:color="auto"/>
        <w:bottom w:val="none" w:sz="0" w:space="0" w:color="auto"/>
        <w:right w:val="none" w:sz="0" w:space="0" w:color="auto"/>
      </w:divBdr>
    </w:div>
    <w:div w:id="1557618129">
      <w:bodyDiv w:val="1"/>
      <w:marLeft w:val="0"/>
      <w:marRight w:val="0"/>
      <w:marTop w:val="0"/>
      <w:marBottom w:val="0"/>
      <w:divBdr>
        <w:top w:val="none" w:sz="0" w:space="0" w:color="auto"/>
        <w:left w:val="none" w:sz="0" w:space="0" w:color="auto"/>
        <w:bottom w:val="none" w:sz="0" w:space="0" w:color="auto"/>
        <w:right w:val="none" w:sz="0" w:space="0" w:color="auto"/>
      </w:divBdr>
    </w:div>
    <w:div w:id="182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ctricitytransmissioncompetitioncoali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ectricitytransmissioncompetitioncoalition.org/" TargetMode="External"/><Relationship Id="rId2" Type="http://schemas.openxmlformats.org/officeDocument/2006/relationships/hyperlink" Target="https://netzeroamerica.princeton.edu/?explorer=year&amp;state=national&amp;table=2020&amp;limit=200" TargetMode="External"/><Relationship Id="rId1" Type="http://schemas.openxmlformats.org/officeDocument/2006/relationships/hyperlink" Target="https://www.brattle.com/wp-content/uploads/2021/05/16726_cost_savings_offered_by_competition_in_electric_transmission.pdf" TargetMode="External"/><Relationship Id="rId6" Type="http://schemas.openxmlformats.org/officeDocument/2006/relationships/hyperlink" Target="http://electricitytransmissioncompetitioncoalition.org/wp-content/uploads/ETCC-ANOPR-Comments-Filed1.pdf" TargetMode="External"/><Relationship Id="rId5" Type="http://schemas.openxmlformats.org/officeDocument/2006/relationships/hyperlink" Target="https://www.barrasso.senate.gov/public/index.cfm/news-releases?ID=7ED77CFE-162B-4ACE-9821-E45E785B8F5E" TargetMode="External"/><Relationship Id="rId4" Type="http://schemas.openxmlformats.org/officeDocument/2006/relationships/hyperlink" Target="https://www.iowacourts.gov/courtcases/15908/embed/SupremeCour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1918-A34A-4651-A156-01B51CBA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Cicio</dc:creator>
  <cp:keywords/>
  <dc:description/>
  <cp:lastModifiedBy>Paul Cicio</cp:lastModifiedBy>
  <cp:revision>12</cp:revision>
  <cp:lastPrinted>2023-04-14T13:33:00Z</cp:lastPrinted>
  <dcterms:created xsi:type="dcterms:W3CDTF">2023-04-17T14:11:00Z</dcterms:created>
  <dcterms:modified xsi:type="dcterms:W3CDTF">2023-04-25T12:06:00Z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a34ac35a25aee4883e44dc0708ee9ab5a1acab33368e259205927e16f8b742fe</vt:lpwstr>
  </property>
</Properties>
</file>